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line="400" w:lineRule="exact"/>
        <w:ind w:firstLine="720" w:firstLineChars="300"/>
        <w:rPr>
          <w:rStyle w:val="6"/>
          <w:rFonts w:ascii="宋体" w:hAnsi="宋体"/>
          <w:bCs/>
          <w:iCs/>
          <w:color w:val="000000"/>
          <w:sz w:val="24"/>
        </w:rPr>
      </w:pPr>
      <w:r>
        <w:rPr>
          <w:rStyle w:val="6"/>
          <w:rFonts w:ascii="宋体" w:hAnsi="宋体"/>
          <w:bCs/>
          <w:iCs/>
          <w:color w:val="000000"/>
          <w:sz w:val="24"/>
        </w:rPr>
        <w:t>证券代码：002332                  证券简称：仙琚制药</w:t>
      </w:r>
    </w:p>
    <w:p>
      <w:pPr>
        <w:spacing w:before="156" w:after="156" w:line="400" w:lineRule="exact"/>
        <w:ind w:firstLine="720" w:firstLineChars="300"/>
        <w:rPr>
          <w:rStyle w:val="6"/>
          <w:rFonts w:ascii="宋体" w:hAnsi="宋体"/>
          <w:bCs/>
          <w:iCs/>
          <w:color w:val="000000"/>
          <w:sz w:val="24"/>
        </w:rPr>
      </w:pPr>
    </w:p>
    <w:p>
      <w:pPr>
        <w:spacing w:before="156" w:after="156" w:line="400" w:lineRule="exact"/>
        <w:jc w:val="center"/>
        <w:rPr>
          <w:rStyle w:val="6"/>
          <w:rFonts w:ascii="宋体" w:hAnsi="宋体"/>
          <w:b/>
          <w:bCs/>
          <w:iCs/>
          <w:color w:val="000000"/>
          <w:sz w:val="32"/>
          <w:szCs w:val="32"/>
        </w:rPr>
      </w:pPr>
      <w:r>
        <w:rPr>
          <w:rStyle w:val="6"/>
          <w:rFonts w:ascii="宋体" w:hAnsi="宋体"/>
          <w:b/>
          <w:bCs/>
          <w:iCs/>
          <w:color w:val="000000"/>
          <w:sz w:val="32"/>
          <w:szCs w:val="32"/>
        </w:rPr>
        <w:t>浙江仙琚制药股份有限公司投资者关系活动记录表</w:t>
      </w:r>
    </w:p>
    <w:p>
      <w:pPr>
        <w:spacing w:line="400" w:lineRule="exact"/>
        <w:rPr>
          <w:rStyle w:val="6"/>
          <w:rFonts w:hint="eastAsia" w:ascii="宋体" w:hAnsi="宋体" w:eastAsia="宋体"/>
          <w:bCs/>
          <w:iCs/>
          <w:color w:val="FF0000"/>
          <w:sz w:val="24"/>
          <w:lang w:eastAsia="zh-CN"/>
        </w:rPr>
      </w:pPr>
      <w:r>
        <w:rPr>
          <w:rStyle w:val="6"/>
          <w:rFonts w:ascii="宋体" w:hAnsi="宋体"/>
          <w:bCs/>
          <w:iCs/>
          <w:color w:val="000000"/>
          <w:sz w:val="24"/>
        </w:rPr>
        <w:t xml:space="preserve">                                                      编号：20</w:t>
      </w:r>
      <w:r>
        <w:rPr>
          <w:rStyle w:val="6"/>
          <w:rFonts w:hint="eastAsia" w:ascii="宋体" w:hAnsi="宋体"/>
          <w:bCs/>
          <w:iCs/>
          <w:color w:val="000000"/>
          <w:sz w:val="24"/>
        </w:rPr>
        <w:t>22</w:t>
      </w:r>
      <w:r>
        <w:rPr>
          <w:rStyle w:val="6"/>
          <w:rFonts w:ascii="宋体" w:hAnsi="宋体"/>
          <w:bCs/>
          <w:iCs/>
          <w:color w:val="000000"/>
          <w:sz w:val="24"/>
        </w:rPr>
        <w:t>-0</w:t>
      </w:r>
      <w:r>
        <w:rPr>
          <w:rStyle w:val="6"/>
          <w:rFonts w:ascii="宋体" w:hAnsi="宋体"/>
          <w:bCs/>
          <w:iCs/>
          <w:sz w:val="24"/>
        </w:rPr>
        <w:t>0</w:t>
      </w:r>
      <w:r>
        <w:rPr>
          <w:rStyle w:val="6"/>
          <w:rFonts w:hint="eastAsia" w:ascii="宋体" w:hAnsi="宋体"/>
          <w:bCs/>
          <w:iCs/>
          <w:sz w:val="24"/>
          <w:lang w:val="en-US" w:eastAsia="zh-CN"/>
        </w:rPr>
        <w:t>2</w:t>
      </w:r>
    </w:p>
    <w:tbl>
      <w:tblPr>
        <w:tblStyle w:val="4"/>
        <w:tblW w:w="86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6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83"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投资者关系活动类别</w:t>
            </w:r>
          </w:p>
          <w:p>
            <w:pPr>
              <w:spacing w:line="480" w:lineRule="atLeast"/>
              <w:rPr>
                <w:rStyle w:val="6"/>
                <w:rFonts w:ascii="宋体" w:hAnsi="宋体"/>
                <w:b/>
                <w:bCs/>
                <w:iCs/>
                <w:color w:val="000000"/>
                <w:sz w:val="24"/>
              </w:rPr>
            </w:pPr>
          </w:p>
        </w:tc>
        <w:tc>
          <w:tcPr>
            <w:tcW w:w="6735"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ascii="宋体" w:hAnsi="宋体"/>
                <w:bCs/>
                <w:iCs/>
                <w:color w:val="000000"/>
                <w:sz w:val="24"/>
              </w:rPr>
              <w:sym w:font="Wingdings 2" w:char="0052"/>
            </w:r>
            <w:r>
              <w:rPr>
                <w:rStyle w:val="6"/>
                <w:rFonts w:ascii="宋体" w:hAnsi="宋体"/>
                <w:sz w:val="24"/>
              </w:rPr>
              <w:t xml:space="preserve">特定对象调研 </w:t>
            </w:r>
            <w:r>
              <w:rPr>
                <w:rStyle w:val="6"/>
                <w:rFonts w:hint="eastAsia" w:ascii="宋体" w:hAnsi="宋体"/>
                <w:sz w:val="24"/>
              </w:rPr>
              <w:t>现场会议</w:t>
            </w:r>
            <w:r>
              <w:rPr>
                <w:rStyle w:val="6"/>
                <w:rFonts w:ascii="宋体" w:hAnsi="宋体"/>
                <w:bCs/>
                <w:iCs/>
                <w:color w:val="000000"/>
                <w:sz w:val="24"/>
              </w:rPr>
              <w:t>□</w:t>
            </w:r>
            <w:r>
              <w:rPr>
                <w:rStyle w:val="6"/>
                <w:rFonts w:ascii="宋体" w:hAnsi="宋体"/>
                <w:sz w:val="24"/>
              </w:rPr>
              <w:t>分析师会议</w:t>
            </w:r>
          </w:p>
          <w:p>
            <w:pPr>
              <w:spacing w:line="480" w:lineRule="atLeast"/>
              <w:rPr>
                <w:rStyle w:val="6"/>
                <w:rFonts w:ascii="宋体" w:hAnsi="宋体"/>
                <w:bCs/>
                <w:iCs/>
                <w:color w:val="000000"/>
                <w:sz w:val="24"/>
              </w:rPr>
            </w:pPr>
            <w:r>
              <w:rPr>
                <w:rStyle w:val="6"/>
                <w:rFonts w:ascii="宋体" w:hAnsi="宋体"/>
                <w:bCs/>
                <w:iCs/>
                <w:color w:val="000000"/>
                <w:sz w:val="24"/>
              </w:rPr>
              <w:sym w:font="Wingdings 2" w:char="00A3"/>
            </w:r>
            <w:r>
              <w:rPr>
                <w:rStyle w:val="6"/>
                <w:rFonts w:ascii="宋体" w:hAnsi="宋体"/>
                <w:sz w:val="24"/>
              </w:rPr>
              <w:t xml:space="preserve">媒体采访           </w:t>
            </w:r>
            <w:r>
              <w:rPr>
                <w:rStyle w:val="6"/>
                <w:rFonts w:hint="eastAsia" w:ascii="宋体" w:hAnsi="宋体"/>
                <w:sz w:val="24"/>
              </w:rPr>
              <w:t xml:space="preserve">  </w:t>
            </w:r>
            <w:r>
              <w:rPr>
                <w:rStyle w:val="6"/>
                <w:rFonts w:ascii="宋体" w:hAnsi="宋体"/>
                <w:bCs/>
                <w:iCs/>
                <w:color w:val="000000"/>
                <w:sz w:val="24"/>
              </w:rPr>
              <w:t>□</w:t>
            </w:r>
            <w:r>
              <w:rPr>
                <w:rStyle w:val="6"/>
                <w:rFonts w:ascii="宋体" w:hAnsi="宋体"/>
                <w:sz w:val="24"/>
              </w:rPr>
              <w:t>业绩说明会</w:t>
            </w:r>
          </w:p>
          <w:p>
            <w:pPr>
              <w:spacing w:line="480" w:lineRule="atLeast"/>
              <w:rPr>
                <w:rStyle w:val="6"/>
                <w:rFonts w:ascii="宋体" w:hAnsi="宋体"/>
                <w:bCs/>
                <w:iCs/>
                <w:color w:val="000000"/>
                <w:sz w:val="24"/>
              </w:rPr>
            </w:pPr>
            <w:r>
              <w:rPr>
                <w:rStyle w:val="6"/>
                <w:rFonts w:ascii="宋体" w:hAnsi="宋体"/>
                <w:bCs/>
                <w:iCs/>
                <w:color w:val="000000"/>
                <w:sz w:val="24"/>
              </w:rPr>
              <w:t>□</w:t>
            </w:r>
            <w:r>
              <w:rPr>
                <w:rStyle w:val="6"/>
                <w:rFonts w:ascii="宋体" w:hAnsi="宋体"/>
                <w:sz w:val="24"/>
              </w:rPr>
              <w:t xml:space="preserve">新闻发布会        </w:t>
            </w:r>
            <w:r>
              <w:rPr>
                <w:rStyle w:val="6"/>
                <w:rFonts w:hint="eastAsia" w:ascii="宋体" w:hAnsi="宋体"/>
                <w:sz w:val="24"/>
              </w:rPr>
              <w:t xml:space="preserve">  </w:t>
            </w:r>
            <w:r>
              <w:rPr>
                <w:rStyle w:val="6"/>
                <w:rFonts w:ascii="宋体" w:hAnsi="宋体"/>
                <w:sz w:val="24"/>
              </w:rPr>
              <w:t xml:space="preserve"> </w:t>
            </w:r>
            <w:r>
              <w:rPr>
                <w:rStyle w:val="6"/>
                <w:rFonts w:ascii="宋体" w:hAnsi="宋体"/>
                <w:bCs/>
                <w:iCs/>
                <w:color w:val="000000"/>
                <w:sz w:val="24"/>
              </w:rPr>
              <w:t>□</w:t>
            </w:r>
            <w:r>
              <w:rPr>
                <w:rStyle w:val="6"/>
                <w:rFonts w:ascii="宋体" w:hAnsi="宋体"/>
                <w:sz w:val="24"/>
              </w:rPr>
              <w:t>路演活动</w:t>
            </w:r>
          </w:p>
          <w:p>
            <w:pPr>
              <w:tabs>
                <w:tab w:val="left" w:pos="3045"/>
                <w:tab w:val="center" w:pos="3199"/>
              </w:tabs>
              <w:spacing w:line="480" w:lineRule="atLeast"/>
              <w:rPr>
                <w:rStyle w:val="6"/>
                <w:rFonts w:ascii="宋体" w:hAnsi="宋体"/>
                <w:bCs/>
                <w:iCs/>
                <w:color w:val="000000"/>
                <w:sz w:val="24"/>
              </w:rPr>
            </w:pPr>
            <w:r>
              <w:rPr>
                <w:rStyle w:val="6"/>
                <w:rFonts w:ascii="宋体" w:hAnsi="宋体"/>
                <w:bCs/>
                <w:iCs/>
                <w:color w:val="000000"/>
                <w:sz w:val="24"/>
              </w:rPr>
              <w:t>□</w:t>
            </w:r>
            <w:r>
              <w:rPr>
                <w:rStyle w:val="6"/>
                <w:rFonts w:ascii="宋体" w:hAnsi="宋体"/>
                <w:sz w:val="24"/>
              </w:rPr>
              <w:t>现场参观</w:t>
            </w:r>
            <w:r>
              <w:rPr>
                <w:rStyle w:val="6"/>
                <w:rFonts w:hint="eastAsia" w:ascii="宋体" w:hAnsi="宋体"/>
                <w:sz w:val="24"/>
              </w:rPr>
              <w:t xml:space="preserve">             </w:t>
            </w:r>
            <w:r>
              <w:rPr>
                <w:rStyle w:val="6"/>
                <w:rFonts w:ascii="宋体" w:hAnsi="宋体"/>
                <w:bCs/>
                <w:iCs/>
                <w:color w:val="000000"/>
                <w:sz w:val="24"/>
              </w:rPr>
              <w:sym w:font="Wingdings 2" w:char="0052"/>
            </w:r>
            <w:r>
              <w:rPr>
                <w:rStyle w:val="6"/>
                <w:rFonts w:ascii="宋体" w:hAnsi="宋体"/>
                <w:sz w:val="24"/>
              </w:rPr>
              <w:t xml:space="preserve">其他 </w:t>
            </w:r>
            <w:r>
              <w:rPr>
                <w:rStyle w:val="6"/>
                <w:rFonts w:ascii="宋体" w:hAnsi="宋体"/>
                <w:sz w:val="24"/>
                <w:szCs w:val="22"/>
              </w:rPr>
              <w:t>电话会议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83"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参与单位名称</w:t>
            </w:r>
          </w:p>
        </w:tc>
        <w:tc>
          <w:tcPr>
            <w:tcW w:w="6735" w:type="dxa"/>
            <w:tcBorders>
              <w:top w:val="single" w:color="000000" w:sz="4" w:space="0"/>
              <w:left w:val="single" w:color="000000" w:sz="4" w:space="0"/>
              <w:bottom w:val="single" w:color="000000" w:sz="4" w:space="0"/>
              <w:right w:val="single" w:color="000000" w:sz="4" w:space="0"/>
            </w:tcBorders>
          </w:tcPr>
          <w:p>
            <w:pPr>
              <w:spacing w:line="360" w:lineRule="auto"/>
              <w:ind w:firstLine="240" w:firstLineChars="100"/>
              <w:rPr>
                <w:rStyle w:val="6"/>
                <w:rFonts w:hint="eastAsia"/>
                <w:sz w:val="24"/>
                <w:lang w:val="en-US" w:eastAsia="zh-CN"/>
              </w:rPr>
            </w:pPr>
            <w:r>
              <w:rPr>
                <w:rStyle w:val="6"/>
                <w:rFonts w:hint="eastAsia"/>
                <w:sz w:val="24"/>
                <w:lang w:val="en-US" w:eastAsia="zh-CN"/>
              </w:rPr>
              <w:t>华创证券      南方基金    财通资管</w:t>
            </w:r>
          </w:p>
          <w:p>
            <w:pPr>
              <w:spacing w:line="360" w:lineRule="auto"/>
              <w:ind w:firstLine="240" w:firstLineChars="100"/>
              <w:rPr>
                <w:rStyle w:val="6"/>
                <w:rFonts w:hint="default"/>
                <w:sz w:val="24"/>
                <w:lang w:val="en-US" w:eastAsia="zh-CN"/>
              </w:rPr>
            </w:pPr>
            <w:r>
              <w:rPr>
                <w:rStyle w:val="6"/>
                <w:rFonts w:hint="eastAsia"/>
                <w:sz w:val="24"/>
                <w:lang w:val="en-US" w:eastAsia="zh-CN"/>
              </w:rPr>
              <w:t>正心谷资本    农银汇理</w:t>
            </w:r>
            <w:bookmarkStart w:id="0" w:name="_GoBack"/>
            <w:bookmarkEnd w:id="0"/>
          </w:p>
          <w:p>
            <w:pPr>
              <w:spacing w:line="360" w:lineRule="auto"/>
              <w:ind w:firstLine="240" w:firstLineChars="100"/>
              <w:rPr>
                <w:rStyle w:val="6"/>
                <w:sz w:val="24"/>
              </w:rPr>
            </w:pPr>
            <w:r>
              <w:rPr>
                <w:rStyle w:val="6"/>
                <w:rFonts w:hint="eastAsia"/>
                <w:sz w:val="24"/>
                <w:lang w:val="en-US" w:eastAsia="zh-CN"/>
              </w:rPr>
              <w:t>民生证券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83"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时间</w:t>
            </w:r>
          </w:p>
        </w:tc>
        <w:tc>
          <w:tcPr>
            <w:tcW w:w="6735"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hint="eastAsia" w:ascii="宋体" w:hAnsi="宋体"/>
                <w:bCs/>
                <w:iCs/>
                <w:color w:val="000000"/>
                <w:sz w:val="24"/>
              </w:rPr>
            </w:pPr>
            <w:r>
              <w:rPr>
                <w:rStyle w:val="6"/>
                <w:rFonts w:ascii="宋体" w:hAnsi="宋体"/>
                <w:bCs/>
                <w:iCs/>
                <w:color w:val="000000"/>
                <w:sz w:val="24"/>
              </w:rPr>
              <w:t>20</w:t>
            </w:r>
            <w:r>
              <w:rPr>
                <w:rStyle w:val="6"/>
                <w:rFonts w:hint="eastAsia" w:ascii="宋体" w:hAnsi="宋体"/>
                <w:bCs/>
                <w:iCs/>
                <w:color w:val="000000"/>
                <w:sz w:val="24"/>
              </w:rPr>
              <w:t>22</w:t>
            </w:r>
            <w:r>
              <w:rPr>
                <w:rStyle w:val="6"/>
                <w:rFonts w:ascii="宋体" w:hAnsi="宋体"/>
                <w:bCs/>
                <w:iCs/>
                <w:color w:val="000000"/>
                <w:sz w:val="24"/>
              </w:rPr>
              <w:t>年</w:t>
            </w:r>
            <w:r>
              <w:rPr>
                <w:rStyle w:val="6"/>
                <w:rFonts w:hint="eastAsia" w:ascii="宋体" w:hAnsi="宋体"/>
                <w:bCs/>
                <w:iCs/>
                <w:color w:val="000000"/>
                <w:sz w:val="24"/>
              </w:rPr>
              <w:t>1</w:t>
            </w:r>
            <w:r>
              <w:rPr>
                <w:rStyle w:val="6"/>
                <w:rFonts w:ascii="宋体" w:hAnsi="宋体"/>
                <w:bCs/>
                <w:iCs/>
                <w:color w:val="000000"/>
                <w:sz w:val="24"/>
              </w:rPr>
              <w:t>月</w:t>
            </w:r>
            <w:r>
              <w:rPr>
                <w:rStyle w:val="6"/>
                <w:rFonts w:hint="eastAsia" w:ascii="宋体" w:hAnsi="宋体"/>
                <w:bCs/>
                <w:iCs/>
                <w:color w:val="000000"/>
                <w:sz w:val="24"/>
                <w:lang w:val="en-US" w:eastAsia="zh-CN"/>
              </w:rPr>
              <w:t>18</w:t>
            </w:r>
            <w:r>
              <w:rPr>
                <w:rStyle w:val="6"/>
                <w:rFonts w:ascii="宋体" w:hAnsi="宋体"/>
                <w:bCs/>
                <w:iCs/>
                <w:color w:val="000000"/>
                <w:sz w:val="24"/>
              </w:rPr>
              <w:t>日</w:t>
            </w:r>
            <w:r>
              <w:rPr>
                <w:rStyle w:val="6"/>
                <w:rFonts w:hint="eastAsia" w:ascii="宋体" w:hAnsi="宋体"/>
                <w:bCs/>
                <w:iCs/>
                <w:color w:val="000000"/>
                <w:sz w:val="24"/>
              </w:rPr>
              <w:t>下</w:t>
            </w:r>
            <w:r>
              <w:rPr>
                <w:rStyle w:val="6"/>
                <w:rFonts w:ascii="宋体" w:hAnsi="宋体"/>
                <w:bCs/>
                <w:iCs/>
                <w:color w:val="000000"/>
                <w:sz w:val="24"/>
              </w:rPr>
              <w:t>午</w:t>
            </w:r>
            <w:r>
              <w:rPr>
                <w:rStyle w:val="6"/>
                <w:rFonts w:hint="eastAsia" w:ascii="宋体" w:hAnsi="宋体"/>
                <w:bCs/>
                <w:iCs/>
                <w:color w:val="000000"/>
                <w:sz w:val="24"/>
              </w:rPr>
              <w:t>15</w:t>
            </w:r>
            <w:r>
              <w:rPr>
                <w:rStyle w:val="6"/>
                <w:rFonts w:ascii="宋体" w:hAnsi="宋体"/>
                <w:bCs/>
                <w:iCs/>
                <w:color w:val="000000"/>
                <w:sz w:val="24"/>
              </w:rPr>
              <w:t>：</w:t>
            </w:r>
            <w:r>
              <w:rPr>
                <w:rStyle w:val="6"/>
                <w:rFonts w:hint="eastAsia" w:ascii="宋体" w:hAnsi="宋体"/>
                <w:bCs/>
                <w:iCs/>
                <w:color w:val="000000"/>
                <w:sz w:val="24"/>
              </w:rPr>
              <w:t>0</w:t>
            </w:r>
            <w:r>
              <w:rPr>
                <w:rStyle w:val="6"/>
                <w:rFonts w:ascii="宋体" w:hAnsi="宋体"/>
                <w:bCs/>
                <w:iCs/>
                <w:color w:val="000000"/>
                <w:sz w:val="24"/>
              </w:rPr>
              <w:t>0-1</w:t>
            </w:r>
            <w:r>
              <w:rPr>
                <w:rStyle w:val="6"/>
                <w:rFonts w:hint="eastAsia" w:ascii="宋体" w:hAnsi="宋体"/>
                <w:bCs/>
                <w:iCs/>
                <w:color w:val="000000"/>
                <w:sz w:val="24"/>
              </w:rPr>
              <w:t>6:</w:t>
            </w:r>
            <w:r>
              <w:rPr>
                <w:rStyle w:val="6"/>
                <w:rFonts w:hint="eastAsia" w:ascii="宋体" w:hAnsi="宋体"/>
                <w:bCs/>
                <w:iCs/>
                <w:color w:val="000000"/>
                <w:sz w:val="24"/>
                <w:lang w:val="en-US" w:eastAsia="zh-CN"/>
              </w:rPr>
              <w:t>0</w:t>
            </w:r>
            <w:r>
              <w:rPr>
                <w:rStyle w:val="6"/>
                <w:rFonts w:hint="eastAsia" w:ascii="宋体" w:hAnsi="宋体"/>
                <w:bCs/>
                <w:iCs/>
                <w:color w:val="000000"/>
                <w:sz w:val="24"/>
              </w:rPr>
              <w:t>0</w:t>
            </w:r>
          </w:p>
          <w:p>
            <w:pPr>
              <w:spacing w:line="480" w:lineRule="atLeast"/>
              <w:rPr>
                <w:rStyle w:val="6"/>
                <w:rFonts w:hint="default" w:ascii="宋体" w:hAnsi="宋体"/>
                <w:bCs/>
                <w:iCs/>
                <w:color w:val="000000"/>
                <w:sz w:val="24"/>
                <w:lang w:val="en-US"/>
              </w:rPr>
            </w:pPr>
            <w:r>
              <w:rPr>
                <w:rStyle w:val="6"/>
                <w:rFonts w:ascii="宋体" w:hAnsi="宋体"/>
                <w:bCs/>
                <w:iCs/>
                <w:color w:val="000000"/>
                <w:sz w:val="24"/>
              </w:rPr>
              <w:t>20</w:t>
            </w:r>
            <w:r>
              <w:rPr>
                <w:rStyle w:val="6"/>
                <w:rFonts w:hint="eastAsia" w:ascii="宋体" w:hAnsi="宋体"/>
                <w:bCs/>
                <w:iCs/>
                <w:color w:val="000000"/>
                <w:sz w:val="24"/>
              </w:rPr>
              <w:t>22</w:t>
            </w:r>
            <w:r>
              <w:rPr>
                <w:rStyle w:val="6"/>
                <w:rFonts w:ascii="宋体" w:hAnsi="宋体"/>
                <w:bCs/>
                <w:iCs/>
                <w:color w:val="000000"/>
                <w:sz w:val="24"/>
              </w:rPr>
              <w:t>年</w:t>
            </w:r>
            <w:r>
              <w:rPr>
                <w:rStyle w:val="6"/>
                <w:rFonts w:hint="eastAsia" w:ascii="宋体" w:hAnsi="宋体"/>
                <w:bCs/>
                <w:iCs/>
                <w:color w:val="000000"/>
                <w:sz w:val="24"/>
              </w:rPr>
              <w:t>1</w:t>
            </w:r>
            <w:r>
              <w:rPr>
                <w:rStyle w:val="6"/>
                <w:rFonts w:ascii="宋体" w:hAnsi="宋体"/>
                <w:bCs/>
                <w:iCs/>
                <w:color w:val="000000"/>
                <w:sz w:val="24"/>
              </w:rPr>
              <w:t>月</w:t>
            </w:r>
            <w:r>
              <w:rPr>
                <w:rStyle w:val="6"/>
                <w:rFonts w:hint="eastAsia" w:ascii="宋体" w:hAnsi="宋体"/>
                <w:bCs/>
                <w:iCs/>
                <w:color w:val="000000"/>
                <w:sz w:val="24"/>
                <w:lang w:val="en-US" w:eastAsia="zh-CN"/>
              </w:rPr>
              <w:t>19</w:t>
            </w:r>
            <w:r>
              <w:rPr>
                <w:rStyle w:val="6"/>
                <w:rFonts w:ascii="宋体" w:hAnsi="宋体"/>
                <w:bCs/>
                <w:iCs/>
                <w:color w:val="000000"/>
                <w:sz w:val="24"/>
              </w:rPr>
              <w:t>日</w:t>
            </w:r>
            <w:r>
              <w:rPr>
                <w:rStyle w:val="6"/>
                <w:rFonts w:hint="eastAsia" w:ascii="宋体" w:hAnsi="宋体"/>
                <w:bCs/>
                <w:iCs/>
                <w:color w:val="000000"/>
                <w:sz w:val="24"/>
              </w:rPr>
              <w:t>下</w:t>
            </w:r>
            <w:r>
              <w:rPr>
                <w:rStyle w:val="6"/>
                <w:rFonts w:ascii="宋体" w:hAnsi="宋体"/>
                <w:bCs/>
                <w:iCs/>
                <w:color w:val="000000"/>
                <w:sz w:val="24"/>
              </w:rPr>
              <w:t>午</w:t>
            </w:r>
            <w:r>
              <w:rPr>
                <w:rStyle w:val="6"/>
                <w:rFonts w:hint="eastAsia" w:ascii="宋体" w:hAnsi="宋体"/>
                <w:bCs/>
                <w:iCs/>
                <w:color w:val="000000"/>
                <w:sz w:val="24"/>
              </w:rPr>
              <w:t>1</w:t>
            </w:r>
            <w:r>
              <w:rPr>
                <w:rStyle w:val="6"/>
                <w:rFonts w:hint="eastAsia" w:ascii="宋体" w:hAnsi="宋体"/>
                <w:bCs/>
                <w:iCs/>
                <w:color w:val="000000"/>
                <w:sz w:val="24"/>
                <w:lang w:val="en-US" w:eastAsia="zh-CN"/>
              </w:rPr>
              <w:t>3</w:t>
            </w:r>
            <w:r>
              <w:rPr>
                <w:rStyle w:val="6"/>
                <w:rFonts w:ascii="宋体" w:hAnsi="宋体"/>
                <w:bCs/>
                <w:iCs/>
                <w:color w:val="000000"/>
                <w:sz w:val="24"/>
              </w:rPr>
              <w:t>：</w:t>
            </w:r>
            <w:r>
              <w:rPr>
                <w:rStyle w:val="6"/>
                <w:rFonts w:hint="eastAsia" w:ascii="宋体" w:hAnsi="宋体"/>
                <w:bCs/>
                <w:iCs/>
                <w:color w:val="000000"/>
                <w:sz w:val="24"/>
                <w:lang w:val="en-US" w:eastAsia="zh-CN"/>
              </w:rPr>
              <w:t>45</w:t>
            </w:r>
            <w:r>
              <w:rPr>
                <w:rStyle w:val="6"/>
                <w:rFonts w:ascii="宋体" w:hAnsi="宋体"/>
                <w:bCs/>
                <w:iCs/>
                <w:color w:val="000000"/>
                <w:sz w:val="24"/>
              </w:rPr>
              <w:t>-1</w:t>
            </w:r>
            <w:r>
              <w:rPr>
                <w:rStyle w:val="6"/>
                <w:rFonts w:hint="eastAsia" w:ascii="宋体" w:hAnsi="宋体"/>
                <w:bCs/>
                <w:iCs/>
                <w:color w:val="000000"/>
                <w:sz w:val="24"/>
                <w:lang w:val="en-US" w:eastAsia="zh-CN"/>
              </w:rPr>
              <w:t>5</w:t>
            </w:r>
            <w:r>
              <w:rPr>
                <w:rStyle w:val="6"/>
                <w:rFonts w:hint="eastAsia" w:ascii="宋体" w:hAnsi="宋体"/>
                <w:bCs/>
                <w:iCs/>
                <w:color w:val="000000"/>
                <w:sz w:val="24"/>
              </w:rPr>
              <w:t>:</w:t>
            </w:r>
            <w:r>
              <w:rPr>
                <w:rStyle w:val="6"/>
                <w:rFonts w:hint="eastAsia" w:ascii="宋体" w:hAnsi="宋体"/>
                <w:bCs/>
                <w:iCs/>
                <w:color w:val="000000"/>
                <w:sz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83"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地点</w:t>
            </w:r>
          </w:p>
        </w:tc>
        <w:tc>
          <w:tcPr>
            <w:tcW w:w="6735"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hint="eastAsia" w:ascii="宋体" w:hAnsi="宋体"/>
                <w:bCs/>
                <w:iCs/>
                <w:color w:val="000000"/>
                <w:sz w:val="24"/>
              </w:rPr>
              <w:t xml:space="preserve">浙江仙琚制药股份有限公司   </w:t>
            </w:r>
            <w:r>
              <w:rPr>
                <w:rStyle w:val="6"/>
                <w:rFonts w:hint="eastAsia" w:ascii="宋体" w:hAnsi="宋体"/>
                <w:bCs/>
                <w:iCs/>
                <w:sz w:val="24"/>
              </w:rPr>
              <w:t>（</w:t>
            </w:r>
            <w:r>
              <w:rPr>
                <w:rStyle w:val="6"/>
                <w:rFonts w:hint="eastAsia" w:ascii="宋体" w:hAnsi="宋体"/>
                <w:bCs/>
                <w:iCs/>
                <w:sz w:val="24"/>
                <w:lang w:eastAsia="zh-CN"/>
              </w:rPr>
              <w:t>现场</w:t>
            </w:r>
            <w:r>
              <w:rPr>
                <w:rStyle w:val="6"/>
                <w:rFonts w:hint="eastAsia" w:ascii="宋体" w:hAnsi="宋体"/>
                <w:bCs/>
                <w:iCs/>
                <w:sz w:val="24"/>
                <w:lang w:val="en-US" w:eastAsia="zh-CN"/>
              </w:rPr>
              <w:t>+</w:t>
            </w:r>
            <w:r>
              <w:rPr>
                <w:rStyle w:val="6"/>
                <w:rFonts w:hint="eastAsia" w:ascii="宋体" w:hAnsi="宋体"/>
                <w:bCs/>
                <w:iCs/>
                <w:sz w:val="24"/>
              </w:rPr>
              <w:t>电话会）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83"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
                <w:bCs/>
                <w:iCs/>
                <w:color w:val="000000"/>
                <w:sz w:val="24"/>
              </w:rPr>
            </w:pPr>
            <w:r>
              <w:rPr>
                <w:rStyle w:val="6"/>
                <w:rFonts w:ascii="宋体" w:hAnsi="宋体"/>
                <w:b/>
                <w:bCs/>
                <w:iCs/>
                <w:color w:val="000000"/>
                <w:sz w:val="24"/>
              </w:rPr>
              <w:t>上市公司接待人员姓名</w:t>
            </w:r>
          </w:p>
        </w:tc>
        <w:tc>
          <w:tcPr>
            <w:tcW w:w="6735"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sz w:val="24"/>
              </w:rPr>
            </w:pPr>
            <w:r>
              <w:rPr>
                <w:rStyle w:val="6"/>
                <w:rFonts w:ascii="宋体" w:hAnsi="宋体"/>
                <w:bCs/>
                <w:iCs/>
                <w:color w:val="000000"/>
                <w:sz w:val="24"/>
              </w:rPr>
              <w:t>董事会秘书    张王伟</w:t>
            </w:r>
          </w:p>
          <w:p>
            <w:pPr>
              <w:spacing w:line="480" w:lineRule="atLeast"/>
              <w:rPr>
                <w:rStyle w:val="6"/>
                <w:rFonts w:ascii="宋体" w:hAnsi="宋体"/>
                <w:bCs/>
                <w:iCs/>
                <w:color w:val="000000"/>
                <w:sz w:val="24"/>
              </w:rPr>
            </w:pPr>
            <w:r>
              <w:rPr>
                <w:rStyle w:val="6"/>
                <w:rFonts w:ascii="宋体" w:hAnsi="宋体"/>
                <w:bCs/>
                <w:iCs/>
                <w:color w:val="000000"/>
                <w:sz w:val="24"/>
              </w:rPr>
              <w:t xml:space="preserve">证券事务代表  </w:t>
            </w:r>
            <w:r>
              <w:rPr>
                <w:rStyle w:val="6"/>
                <w:rFonts w:hint="eastAsia" w:ascii="宋体" w:hAnsi="宋体"/>
                <w:bCs/>
                <w:iCs/>
                <w:color w:val="000000"/>
                <w:sz w:val="24"/>
              </w:rPr>
              <w:t>沈旭红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883"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6"/>
                <w:rFonts w:ascii="宋体" w:hAnsi="宋体"/>
                <w:b/>
                <w:bCs/>
                <w:iCs/>
                <w:color w:val="000000" w:themeColor="text1"/>
                <w:sz w:val="24"/>
                <w14:textFill>
                  <w14:solidFill>
                    <w14:schemeClr w14:val="tx1"/>
                  </w14:solidFill>
                </w14:textFill>
              </w:rPr>
            </w:pPr>
            <w:r>
              <w:rPr>
                <w:rStyle w:val="6"/>
                <w:rFonts w:ascii="宋体" w:hAnsi="宋体"/>
                <w:b/>
                <w:bCs/>
                <w:iCs/>
                <w:color w:val="000000" w:themeColor="text1"/>
                <w:sz w:val="24"/>
                <w14:textFill>
                  <w14:solidFill>
                    <w14:schemeClr w14:val="tx1"/>
                  </w14:solidFill>
                </w14:textFill>
              </w:rPr>
              <w:t>投资者关系活动主要内容介绍</w:t>
            </w:r>
          </w:p>
          <w:p>
            <w:pPr>
              <w:spacing w:line="480" w:lineRule="atLeast"/>
              <w:rPr>
                <w:rStyle w:val="6"/>
                <w:rFonts w:ascii="宋体" w:hAnsi="宋体"/>
                <w:b/>
                <w:bCs/>
                <w:iCs/>
                <w:color w:val="000000" w:themeColor="text1"/>
                <w:sz w:val="24"/>
                <w14:textFill>
                  <w14:solidFill>
                    <w14:schemeClr w14:val="tx1"/>
                  </w14:solidFill>
                </w14:textFill>
              </w:rPr>
            </w:pPr>
          </w:p>
        </w:tc>
        <w:tc>
          <w:tcPr>
            <w:tcW w:w="6735" w:type="dxa"/>
            <w:tcBorders>
              <w:top w:val="single" w:color="000000" w:sz="4" w:space="0"/>
              <w:left w:val="single" w:color="000000" w:sz="4" w:space="0"/>
              <w:bottom w:val="single" w:color="000000" w:sz="4" w:space="0"/>
              <w:right w:val="single" w:color="000000" w:sz="4" w:space="0"/>
            </w:tcBorders>
          </w:tcPr>
          <w:p>
            <w:pPr>
              <w:spacing w:line="360" w:lineRule="auto"/>
              <w:jc w:val="left"/>
              <w:rPr>
                <w:rFonts w:hint="default" w:ascii="宋体" w:hAnsi="宋体" w:cs="宋体"/>
                <w:b/>
                <w:bCs/>
                <w:i w:val="0"/>
                <w:iCs/>
                <w:sz w:val="24"/>
                <w:lang w:val="en-US" w:eastAsia="zh-CN"/>
              </w:rPr>
            </w:pPr>
            <w:r>
              <w:rPr>
                <w:rFonts w:hint="eastAsia" w:ascii="宋体" w:hAnsi="宋体" w:cs="宋体"/>
                <w:b/>
                <w:bCs/>
                <w:i w:val="0"/>
                <w:iCs/>
                <w:sz w:val="24"/>
                <w:lang w:val="en-US" w:eastAsia="zh-CN"/>
              </w:rPr>
              <w:t>1、杨府原料药厂区的现状</w:t>
            </w:r>
          </w:p>
          <w:p>
            <w:pPr>
              <w:spacing w:line="360" w:lineRule="auto"/>
              <w:ind w:firstLine="480"/>
              <w:jc w:val="left"/>
              <w:rPr>
                <w:rStyle w:val="6"/>
                <w:rFonts w:hint="eastAsia" w:hAnsi="宋体" w:eastAsia="宋体" w:cs="Times New Roman"/>
                <w:b w:val="0"/>
                <w:bCs/>
                <w:color w:val="auto"/>
                <w:kern w:val="2"/>
                <w:sz w:val="24"/>
                <w:szCs w:val="22"/>
                <w:lang w:val="en-US" w:eastAsia="zh-CN" w:bidi="ar-SA"/>
              </w:rPr>
            </w:pPr>
            <w:r>
              <w:rPr>
                <w:rStyle w:val="6"/>
                <w:rFonts w:hint="eastAsia" w:hAnsi="宋体" w:cs="Times New Roman"/>
                <w:b w:val="0"/>
                <w:bCs/>
                <w:color w:val="auto"/>
                <w:kern w:val="2"/>
                <w:sz w:val="24"/>
                <w:szCs w:val="22"/>
                <w:lang w:val="en-US" w:eastAsia="zh-CN" w:bidi="ar-SA"/>
              </w:rPr>
              <w:t>公司是原料药和制剂一体化的医药企业，</w:t>
            </w:r>
            <w:r>
              <w:rPr>
                <w:rStyle w:val="6"/>
                <w:rFonts w:hint="eastAsia" w:ascii="宋体" w:hAnsi="宋体" w:eastAsia="宋体" w:cs="Times New Roman"/>
                <w:b w:val="0"/>
                <w:bCs/>
                <w:color w:val="auto"/>
                <w:kern w:val="2"/>
                <w:sz w:val="24"/>
                <w:szCs w:val="22"/>
                <w:lang w:val="en-US" w:eastAsia="zh-CN" w:bidi="ar-SA"/>
              </w:rPr>
              <w:t>原料药是公司的根基和优势之一，</w:t>
            </w:r>
            <w:r>
              <w:rPr>
                <w:rStyle w:val="6"/>
                <w:rFonts w:hint="eastAsia" w:hAnsi="宋体" w:cs="Times New Roman"/>
                <w:b w:val="0"/>
                <w:bCs/>
                <w:color w:val="auto"/>
                <w:kern w:val="2"/>
                <w:sz w:val="24"/>
                <w:szCs w:val="22"/>
                <w:lang w:val="en-US" w:eastAsia="zh-CN" w:bidi="ar-SA"/>
              </w:rPr>
              <w:t>杨府原料药厂区</w:t>
            </w:r>
            <w:r>
              <w:rPr>
                <w:rStyle w:val="6"/>
                <w:rFonts w:hint="eastAsia" w:ascii="宋体" w:hAnsi="宋体"/>
                <w:sz w:val="24"/>
              </w:rPr>
              <w:t>作为公司三大核心制造平台之一</w:t>
            </w:r>
            <w:r>
              <w:rPr>
                <w:rStyle w:val="6"/>
                <w:rFonts w:hint="eastAsia" w:ascii="宋体" w:hAnsi="宋体"/>
                <w:sz w:val="24"/>
                <w:lang w:eastAsia="zh-CN"/>
              </w:rPr>
              <w:t>，已与</w:t>
            </w:r>
            <w:r>
              <w:rPr>
                <w:rStyle w:val="6"/>
                <w:rFonts w:hint="eastAsia" w:hAnsi="宋体" w:cs="Times New Roman"/>
                <w:b w:val="0"/>
                <w:bCs/>
                <w:color w:val="auto"/>
                <w:kern w:val="2"/>
                <w:sz w:val="24"/>
                <w:szCs w:val="22"/>
                <w:lang w:val="en-US" w:eastAsia="zh-CN" w:bidi="ar-SA"/>
              </w:rPr>
              <w:t>临海川南厂区、意大利Newchem 厂区形成公司原料药业务三大厂区协同发展的新局面。</w:t>
            </w:r>
          </w:p>
          <w:p>
            <w:pPr>
              <w:spacing w:line="360" w:lineRule="auto"/>
              <w:ind w:firstLine="480"/>
              <w:jc w:val="left"/>
              <w:rPr>
                <w:rStyle w:val="6"/>
                <w:rFonts w:hint="eastAsia" w:ascii="宋体" w:hAnsi="宋体" w:cs="Times New Roman"/>
                <w:b w:val="0"/>
                <w:bCs/>
                <w:color w:val="auto"/>
                <w:kern w:val="2"/>
                <w:sz w:val="24"/>
                <w:szCs w:val="22"/>
                <w:lang w:val="en-US" w:eastAsia="zh-CN" w:bidi="ar-SA"/>
              </w:rPr>
            </w:pPr>
            <w:r>
              <w:rPr>
                <w:rStyle w:val="6"/>
                <w:rFonts w:hint="eastAsia" w:hAnsi="宋体" w:cs="Times New Roman"/>
                <w:b w:val="0"/>
                <w:bCs/>
                <w:color w:val="auto"/>
                <w:kern w:val="2"/>
                <w:sz w:val="24"/>
                <w:szCs w:val="22"/>
                <w:lang w:val="en-US" w:eastAsia="zh-CN" w:bidi="ar-SA"/>
              </w:rPr>
              <w:t>在原料药发展的布局上，公司一直遵行绿色、低碳的发展理念。</w:t>
            </w:r>
            <w:r>
              <w:rPr>
                <w:rFonts w:hint="eastAsia"/>
                <w:color w:val="auto"/>
                <w:sz w:val="24"/>
                <w:szCs w:val="24"/>
                <w:lang w:val="en-US" w:eastAsia="zh-CN"/>
              </w:rPr>
              <w:t>厂区在设计时就考虑</w:t>
            </w:r>
            <w:r>
              <w:rPr>
                <w:rStyle w:val="6"/>
                <w:rFonts w:hint="eastAsia" w:ascii="宋体" w:hAnsi="宋体" w:cs="Times New Roman"/>
                <w:b w:val="0"/>
                <w:bCs/>
                <w:color w:val="auto"/>
                <w:kern w:val="0"/>
                <w:sz w:val="24"/>
                <w:szCs w:val="22"/>
                <w:lang w:val="en-US" w:eastAsia="zh-CN" w:bidi="ar-SA"/>
              </w:rPr>
              <w:t>生产工艺、</w:t>
            </w:r>
            <w:r>
              <w:rPr>
                <w:rStyle w:val="6"/>
                <w:rFonts w:hint="eastAsia" w:ascii="宋体" w:hAnsi="宋体" w:eastAsia="宋体" w:cs="Times New Roman"/>
                <w:b w:val="0"/>
                <w:bCs/>
                <w:color w:val="auto"/>
                <w:kern w:val="0"/>
                <w:sz w:val="24"/>
                <w:szCs w:val="22"/>
                <w:lang w:val="en-US" w:eastAsia="zh-CN" w:bidi="ar-SA"/>
              </w:rPr>
              <w:t>生产配套措施的提升与升级</w:t>
            </w:r>
            <w:r>
              <w:rPr>
                <w:rStyle w:val="6"/>
                <w:rFonts w:hint="eastAsia" w:ascii="宋体" w:hAnsi="宋体" w:cs="Times New Roman"/>
                <w:b w:val="0"/>
                <w:bCs/>
                <w:color w:val="auto"/>
                <w:kern w:val="0"/>
                <w:sz w:val="24"/>
                <w:szCs w:val="22"/>
                <w:lang w:val="en-US" w:eastAsia="zh-CN" w:bidi="ar-SA"/>
              </w:rPr>
              <w:t>，生产的自动化程度、生产现场的密闭化管控、人员配置等</w:t>
            </w:r>
            <w:r>
              <w:rPr>
                <w:rFonts w:hint="eastAsia"/>
                <w:color w:val="auto"/>
                <w:sz w:val="24"/>
                <w:szCs w:val="24"/>
                <w:lang w:val="en-US" w:eastAsia="zh-CN"/>
              </w:rPr>
              <w:t>这些配套技术的提升，新设备的运用对生产物料投放的精准性、人员的安全性、生产的绿色低碳环保性都是一种提升。公司部份车间在</w:t>
            </w:r>
            <w:r>
              <w:rPr>
                <w:rStyle w:val="6"/>
                <w:rFonts w:hint="default" w:ascii="宋体" w:hAnsi="宋体" w:eastAsia="宋体" w:cs="Times New Roman"/>
                <w:b w:val="0"/>
                <w:bCs/>
                <w:color w:val="auto"/>
                <w:kern w:val="2"/>
                <w:sz w:val="24"/>
                <w:szCs w:val="22"/>
                <w:lang w:val="en-US" w:eastAsia="zh-CN" w:bidi="ar-SA"/>
              </w:rPr>
              <w:t>酶</w:t>
            </w:r>
            <w:r>
              <w:rPr>
                <w:rStyle w:val="6"/>
                <w:rFonts w:hint="eastAsia" w:ascii="宋体" w:hAnsi="宋体" w:cs="Times New Roman"/>
                <w:b w:val="0"/>
                <w:bCs/>
                <w:color w:val="auto"/>
                <w:kern w:val="2"/>
                <w:sz w:val="24"/>
                <w:szCs w:val="22"/>
                <w:lang w:val="en-US" w:eastAsia="zh-CN" w:bidi="ar-SA"/>
              </w:rPr>
              <w:t>催化、连续流方面都有新的尝试与探索。公司在产品工艺方面持续精进，产品后续的成本有望进一步降低。</w:t>
            </w:r>
          </w:p>
          <w:p>
            <w:pPr>
              <w:spacing w:line="360" w:lineRule="auto"/>
              <w:ind w:firstLine="480"/>
              <w:jc w:val="left"/>
              <w:rPr>
                <w:rStyle w:val="6"/>
                <w:rFonts w:hint="eastAsia" w:hAnsi="宋体" w:cs="Times New Roman"/>
                <w:b w:val="0"/>
                <w:bCs/>
                <w:color w:val="auto"/>
                <w:kern w:val="2"/>
                <w:sz w:val="24"/>
                <w:szCs w:val="22"/>
                <w:lang w:val="en-US" w:eastAsia="zh-CN" w:bidi="ar-SA"/>
              </w:rPr>
            </w:pPr>
            <w:r>
              <w:rPr>
                <w:rStyle w:val="6"/>
                <w:rFonts w:hint="eastAsia" w:ascii="宋体" w:hAnsi="宋体"/>
                <w:b w:val="0"/>
                <w:bCs/>
                <w:sz w:val="24"/>
                <w:szCs w:val="22"/>
                <w:lang w:val="en-US" w:eastAsia="zh-CN"/>
              </w:rPr>
              <w:t>公司将努力往高品质、高价值、有品牌的方向发展，寻求产品的递升与突破。</w:t>
            </w:r>
          </w:p>
          <w:p>
            <w:pPr>
              <w:spacing w:line="360" w:lineRule="auto"/>
              <w:ind w:firstLine="480"/>
              <w:jc w:val="left"/>
              <w:rPr>
                <w:rStyle w:val="6"/>
                <w:rFonts w:hint="default" w:ascii="宋体" w:hAnsi="宋体" w:cs="Times New Roman"/>
                <w:b w:val="0"/>
                <w:bCs/>
                <w:color w:val="auto"/>
                <w:kern w:val="2"/>
                <w:sz w:val="24"/>
                <w:szCs w:val="22"/>
                <w:lang w:val="en-US" w:eastAsia="zh-CN" w:bidi="ar-SA"/>
              </w:rPr>
            </w:pPr>
          </w:p>
          <w:p>
            <w:pPr>
              <w:numPr>
                <w:ilvl w:val="0"/>
                <w:numId w:val="0"/>
              </w:numPr>
              <w:spacing w:line="480" w:lineRule="atLeast"/>
              <w:rPr>
                <w:rStyle w:val="6"/>
                <w:rFonts w:ascii="宋体" w:hAnsi="宋体"/>
                <w:b/>
                <w:iCs/>
                <w:color w:val="000000" w:themeColor="text1"/>
                <w:sz w:val="24"/>
                <w:szCs w:val="22"/>
                <w14:textFill>
                  <w14:solidFill>
                    <w14:schemeClr w14:val="tx1"/>
                  </w14:solidFill>
                </w14:textFill>
              </w:rPr>
            </w:pPr>
            <w:r>
              <w:rPr>
                <w:rStyle w:val="6"/>
                <w:rFonts w:hint="eastAsia" w:ascii="宋体" w:hAnsi="宋体"/>
                <w:b/>
                <w:iCs/>
                <w:color w:val="000000" w:themeColor="text1"/>
                <w:sz w:val="24"/>
                <w:szCs w:val="22"/>
                <w:lang w:val="en-US" w:eastAsia="zh-CN"/>
                <w14:textFill>
                  <w14:solidFill>
                    <w14:schemeClr w14:val="tx1"/>
                  </w14:solidFill>
                </w14:textFill>
              </w:rPr>
              <w:t>2、公</w:t>
            </w:r>
            <w:r>
              <w:rPr>
                <w:rStyle w:val="6"/>
                <w:rFonts w:hint="eastAsia" w:ascii="宋体" w:hAnsi="宋体"/>
                <w:b/>
                <w:iCs/>
                <w:color w:val="000000" w:themeColor="text1"/>
                <w:sz w:val="24"/>
                <w:szCs w:val="22"/>
                <w14:textFill>
                  <w14:solidFill>
                    <w14:schemeClr w14:val="tx1"/>
                  </w14:solidFill>
                </w14:textFill>
              </w:rPr>
              <w:t>司研发情况</w:t>
            </w:r>
          </w:p>
          <w:p>
            <w:pPr>
              <w:autoSpaceDE w:val="0"/>
              <w:autoSpaceDN w:val="0"/>
              <w:adjustRightInd w:val="0"/>
              <w:spacing w:line="360" w:lineRule="auto"/>
              <w:ind w:firstLine="480" w:firstLineChars="200"/>
              <w:jc w:val="left"/>
              <w:rPr>
                <w:rStyle w:val="6"/>
                <w:rFonts w:ascii="宋体" w:hAnsi="宋体"/>
                <w:bCs/>
                <w:iCs/>
                <w:color w:val="000000" w:themeColor="text1"/>
                <w:sz w:val="24"/>
                <w:szCs w:val="22"/>
                <w14:textFill>
                  <w14:solidFill>
                    <w14:schemeClr w14:val="tx1"/>
                  </w14:solidFill>
                </w14:textFill>
              </w:rPr>
            </w:pPr>
            <w:r>
              <w:rPr>
                <w:rFonts w:hint="eastAsia" w:ascii="宋体" w:hAnsi="宋体" w:cs="宋体"/>
                <w:sz w:val="24"/>
                <w:lang w:val="zh-CN"/>
              </w:rPr>
              <w:t>公司根据国家政策环境的新变化对现有开发产品进行梳理，积极推进研发聚焦工作，制剂产品研发围绕公司妇科及辅助生殖、麻醉及肌松、呼吸科等核心治疗领域构建产品群，服务群。公司将通过市场的调查和定位，在各个治疗领域里组建产品群，去寻找、获得所需要的潜力产品，为公司今后5-10年的持续稳健发展做好产品储备。目前主</w:t>
            </w:r>
            <w:r>
              <w:rPr>
                <w:rStyle w:val="6"/>
                <w:rFonts w:hint="eastAsia" w:ascii="宋体" w:hAnsi="宋体"/>
                <w:bCs/>
                <w:iCs/>
                <w:color w:val="000000" w:themeColor="text1"/>
                <w:sz w:val="24"/>
                <w:szCs w:val="22"/>
                <w14:textFill>
                  <w14:solidFill>
                    <w14:schemeClr w14:val="tx1"/>
                  </w14:solidFill>
                </w14:textFill>
              </w:rPr>
              <w:t>要在研产品以市场空间和公司机会为切入点，对标竞争格局良好的原研产品管线。</w:t>
            </w:r>
          </w:p>
          <w:p>
            <w:pPr>
              <w:spacing w:line="480" w:lineRule="atLeast"/>
              <w:ind w:firstLine="480"/>
              <w:rPr>
                <w:rStyle w:val="6"/>
                <w:rFonts w:hint="eastAsia" w:ascii="宋体" w:hAnsi="宋体"/>
                <w:bCs/>
                <w:iCs/>
                <w:color w:val="000000" w:themeColor="text1"/>
                <w:sz w:val="24"/>
                <w:szCs w:val="22"/>
                <w14:textFill>
                  <w14:solidFill>
                    <w14:schemeClr w14:val="tx1"/>
                  </w14:solidFill>
                </w14:textFill>
              </w:rPr>
            </w:pPr>
            <w:r>
              <w:rPr>
                <w:rStyle w:val="6"/>
                <w:rFonts w:hint="eastAsia" w:ascii="宋体" w:hAnsi="宋体"/>
                <w:bCs/>
                <w:iCs/>
                <w:color w:val="000000" w:themeColor="text1"/>
                <w:sz w:val="24"/>
                <w:szCs w:val="22"/>
                <w14:textFill>
                  <w14:solidFill>
                    <w14:schemeClr w14:val="tx1"/>
                  </w14:solidFill>
                </w14:textFill>
              </w:rPr>
              <w:t>国内随着一致性评价，原料药制剂关联审评，拥有更高品质、更充分的质量研究、能提供技术文件包等增值服务的原料药将逐渐成为下游客户的重要选择因素。</w:t>
            </w:r>
          </w:p>
          <w:p>
            <w:pPr>
              <w:autoSpaceDE w:val="0"/>
              <w:autoSpaceDN w:val="0"/>
              <w:adjustRightInd w:val="0"/>
              <w:spacing w:line="360" w:lineRule="auto"/>
              <w:ind w:firstLine="480" w:firstLineChars="200"/>
              <w:jc w:val="left"/>
              <w:rPr>
                <w:rFonts w:ascii="宋体" w:hAnsi="宋体" w:cs="宋体"/>
                <w:sz w:val="24"/>
                <w:lang w:val="zh-CN"/>
              </w:rPr>
            </w:pPr>
            <w:r>
              <w:rPr>
                <w:rFonts w:hint="eastAsia" w:ascii="宋体" w:hAnsi="宋体" w:cs="宋体"/>
                <w:sz w:val="24"/>
                <w:lang w:val="zh-CN"/>
              </w:rPr>
              <w:t>公司一致性评价品种</w:t>
            </w:r>
            <w:r>
              <w:rPr>
                <w:rFonts w:ascii="宋体" w:hAnsi="宋体" w:cs="宋体"/>
                <w:sz w:val="24"/>
                <w:lang w:val="zh-CN"/>
              </w:rPr>
              <w:t>22</w:t>
            </w:r>
            <w:r>
              <w:rPr>
                <w:rFonts w:hint="eastAsia" w:ascii="宋体" w:hAnsi="宋体" w:cs="宋体"/>
                <w:sz w:val="24"/>
                <w:lang w:val="zh-CN"/>
              </w:rPr>
              <w:t>个，已申报</w:t>
            </w:r>
            <w:r>
              <w:rPr>
                <w:rFonts w:hint="eastAsia" w:ascii="宋体" w:hAnsi="宋体" w:cs="宋体"/>
                <w:sz w:val="24"/>
              </w:rPr>
              <w:t>9</w:t>
            </w:r>
            <w:r>
              <w:rPr>
                <w:rFonts w:hint="eastAsia" w:ascii="宋体" w:hAnsi="宋体" w:cs="宋体"/>
                <w:sz w:val="24"/>
                <w:lang w:val="zh-CN"/>
              </w:rPr>
              <w:t>个，过评</w:t>
            </w:r>
            <w:r>
              <w:rPr>
                <w:rFonts w:hint="eastAsia" w:ascii="宋体" w:hAnsi="宋体" w:cs="宋体"/>
                <w:sz w:val="24"/>
                <w:lang w:val="en-US" w:eastAsia="zh-CN"/>
              </w:rPr>
              <w:t>5</w:t>
            </w:r>
            <w:r>
              <w:rPr>
                <w:rFonts w:hint="eastAsia" w:ascii="宋体" w:hAnsi="宋体" w:cs="宋体"/>
                <w:sz w:val="24"/>
                <w:lang w:val="zh-CN"/>
              </w:rPr>
              <w:t>个。过评产品具体为：罗库溴铵注射液、非那雄胺片、米索前列醇片、盐酸罗哌卡因注射液、氟马西尼注射液。泼尼松龙片、醋酸泼尼松片、地塞米松磷酸钠注射液、米非司酮片一致性评价申报资料获得受理，正在有序推进审批。</w:t>
            </w:r>
          </w:p>
          <w:p>
            <w:pPr>
              <w:autoSpaceDE w:val="0"/>
              <w:autoSpaceDN w:val="0"/>
              <w:adjustRightInd w:val="0"/>
              <w:spacing w:line="360" w:lineRule="auto"/>
              <w:ind w:firstLine="480" w:firstLineChars="200"/>
              <w:jc w:val="left"/>
              <w:rPr>
                <w:rFonts w:hint="eastAsia" w:ascii="宋体" w:hAnsi="宋体" w:eastAsia="宋体" w:cs="宋体"/>
                <w:color w:val="auto"/>
                <w:sz w:val="24"/>
                <w:lang w:val="en-US" w:eastAsia="zh-CN"/>
              </w:rPr>
            </w:pPr>
            <w:r>
              <w:rPr>
                <w:rFonts w:hint="eastAsia" w:ascii="宋体" w:hAnsi="宋体" w:cs="宋体"/>
                <w:sz w:val="24"/>
                <w:lang w:val="zh-CN"/>
              </w:rPr>
              <w:t>新仿制品种</w:t>
            </w:r>
            <w:r>
              <w:rPr>
                <w:rFonts w:ascii="宋体" w:hAnsi="宋体" w:cs="宋体"/>
                <w:sz w:val="24"/>
                <w:lang w:val="zh-CN"/>
              </w:rPr>
              <w:t>18</w:t>
            </w:r>
            <w:r>
              <w:rPr>
                <w:rFonts w:hint="eastAsia" w:ascii="宋体" w:hAnsi="宋体" w:cs="宋体"/>
                <w:sz w:val="24"/>
                <w:lang w:val="zh-CN"/>
              </w:rPr>
              <w:t>个，</w:t>
            </w:r>
            <w:r>
              <w:rPr>
                <w:rFonts w:hint="eastAsia" w:ascii="宋体" w:hAnsi="宋体" w:cs="宋体"/>
                <w:color w:val="auto"/>
                <w:sz w:val="24"/>
                <w:lang w:val="zh-CN"/>
              </w:rPr>
              <w:t>已申报</w:t>
            </w:r>
            <w:r>
              <w:rPr>
                <w:rFonts w:hint="eastAsia" w:ascii="宋体" w:hAnsi="宋体" w:cs="宋体"/>
                <w:color w:val="auto"/>
                <w:sz w:val="24"/>
              </w:rPr>
              <w:t>6</w:t>
            </w:r>
            <w:r>
              <w:rPr>
                <w:rFonts w:hint="eastAsia" w:ascii="宋体" w:hAnsi="宋体" w:cs="宋体"/>
                <w:color w:val="auto"/>
                <w:sz w:val="24"/>
                <w:lang w:val="zh-CN"/>
              </w:rPr>
              <w:t>个。已完成境内药品生产注册申报产品具体为：甲泼尼龙片、舒更葡糖钠原料药及制剂、苯磺顺阿曲库铵注射液、戌酸雌二醇片、地塞米松磷酸钠注射液、屈螺酮炔雌醇片。甲泼尼龙片已通过</w:t>
            </w:r>
            <w:r>
              <w:rPr>
                <w:rFonts w:hint="eastAsia" w:ascii="宋体" w:hAnsi="宋体" w:cs="宋体"/>
                <w:color w:val="auto"/>
                <w:sz w:val="24"/>
                <w:lang w:val="zh-CN" w:eastAsia="zh-CN"/>
              </w:rPr>
              <w:t>审评。</w:t>
            </w:r>
          </w:p>
          <w:p>
            <w:pPr>
              <w:spacing w:line="480" w:lineRule="atLeast"/>
              <w:rPr>
                <w:rStyle w:val="6"/>
                <w:rFonts w:ascii="宋体" w:hAnsi="宋体"/>
                <w:bCs/>
                <w:iCs/>
                <w:color w:val="000000" w:themeColor="text1"/>
                <w:sz w:val="24"/>
                <w:szCs w:val="22"/>
                <w14:textFill>
                  <w14:solidFill>
                    <w14:schemeClr w14:val="tx1"/>
                  </w14:solidFill>
                </w14:textFill>
              </w:rPr>
            </w:pPr>
          </w:p>
          <w:p>
            <w:pPr>
              <w:numPr>
                <w:ilvl w:val="0"/>
                <w:numId w:val="0"/>
              </w:numPr>
              <w:spacing w:line="360" w:lineRule="auto"/>
              <w:jc w:val="left"/>
              <w:rPr>
                <w:rStyle w:val="6"/>
                <w:rFonts w:ascii="宋体" w:hAnsi="宋体"/>
                <w:b/>
                <w:color w:val="000000" w:themeColor="text1"/>
                <w:sz w:val="24"/>
                <w:szCs w:val="22"/>
                <w14:textFill>
                  <w14:solidFill>
                    <w14:schemeClr w14:val="tx1"/>
                  </w14:solidFill>
                </w14:textFill>
              </w:rPr>
            </w:pPr>
            <w:r>
              <w:rPr>
                <w:rStyle w:val="6"/>
                <w:rFonts w:hint="eastAsia" w:ascii="宋体" w:hAnsi="宋体"/>
                <w:b/>
                <w:color w:val="000000" w:themeColor="text1"/>
                <w:sz w:val="24"/>
                <w:szCs w:val="22"/>
                <w:lang w:val="en-US" w:eastAsia="zh-CN"/>
                <w14:textFill>
                  <w14:solidFill>
                    <w14:schemeClr w14:val="tx1"/>
                  </w14:solidFill>
                </w14:textFill>
              </w:rPr>
              <w:t>3、</w:t>
            </w:r>
            <w:r>
              <w:rPr>
                <w:rStyle w:val="6"/>
                <w:rFonts w:hint="eastAsia" w:ascii="宋体" w:hAnsi="宋体"/>
                <w:b/>
                <w:color w:val="000000" w:themeColor="text1"/>
                <w:sz w:val="24"/>
                <w:szCs w:val="22"/>
                <w14:textFill>
                  <w14:solidFill>
                    <w14:schemeClr w14:val="tx1"/>
                  </w14:solidFill>
                </w14:textFill>
              </w:rPr>
              <w:t>国家集中带量采购政策对公司的影响</w:t>
            </w:r>
          </w:p>
          <w:p>
            <w:pPr>
              <w:autoSpaceDE w:val="0"/>
              <w:autoSpaceDN w:val="0"/>
              <w:adjustRightInd w:val="0"/>
              <w:spacing w:line="360" w:lineRule="auto"/>
              <w:ind w:firstLine="480" w:firstLineChars="200"/>
              <w:jc w:val="left"/>
              <w:rPr>
                <w:rFonts w:ascii="宋体" w:hAnsi="宋体" w:cs="宋体"/>
                <w:iCs/>
                <w:sz w:val="24"/>
                <w:lang w:val="zh-CN"/>
              </w:rPr>
            </w:pPr>
            <w:r>
              <w:rPr>
                <w:rFonts w:hint="eastAsia" w:ascii="宋体" w:hAnsi="宋体" w:cs="宋体"/>
                <w:iCs/>
                <w:sz w:val="24"/>
                <w:lang w:val="zh-CN"/>
              </w:rPr>
              <w:t>公司的产品若纳入集采，主要是麻醉肌松制剂产品的收入端会有影响。顺阿曲库铵集采影响从二季度已经开始体现。公司顺阿曲库铵原料药从原先的单纯自供开始转化为同时对外销售。原料药销售带来一定的可观利润。</w:t>
            </w:r>
          </w:p>
          <w:p>
            <w:pPr>
              <w:autoSpaceDE w:val="0"/>
              <w:autoSpaceDN w:val="0"/>
              <w:adjustRightInd w:val="0"/>
              <w:spacing w:line="360" w:lineRule="auto"/>
              <w:ind w:firstLine="480" w:firstLineChars="200"/>
              <w:jc w:val="left"/>
              <w:rPr>
                <w:rFonts w:ascii="宋体" w:hAnsi="宋体" w:cs="宋体"/>
                <w:iCs/>
                <w:sz w:val="24"/>
                <w:lang w:val="zh-CN"/>
              </w:rPr>
            </w:pPr>
            <w:r>
              <w:rPr>
                <w:rFonts w:hint="eastAsia" w:ascii="宋体" w:hAnsi="宋体" w:cs="宋体"/>
                <w:iCs/>
                <w:sz w:val="24"/>
                <w:lang w:val="zh-CN"/>
              </w:rPr>
              <w:t>盐酸罗哌卡因注射液入围第</w:t>
            </w:r>
            <w:r>
              <w:rPr>
                <w:rFonts w:hint="eastAsia" w:ascii="宋体" w:hAnsi="宋体" w:cs="宋体"/>
                <w:iCs/>
                <w:sz w:val="24"/>
              </w:rPr>
              <w:t>5批国家集采，对公司而言是一个很好的机会，</w:t>
            </w:r>
            <w:r>
              <w:rPr>
                <w:rFonts w:hint="eastAsia" w:ascii="宋体" w:hAnsi="宋体" w:cs="宋体"/>
                <w:iCs/>
                <w:sz w:val="24"/>
                <w:lang w:val="zh-CN"/>
              </w:rPr>
              <w:t>销量上体现较大幅度</w:t>
            </w:r>
            <w:r>
              <w:rPr>
                <w:rFonts w:hint="eastAsia" w:ascii="宋体" w:hAnsi="宋体" w:cs="宋体"/>
                <w:iCs/>
                <w:sz w:val="24"/>
                <w:lang w:val="en-US" w:eastAsia="zh-CN"/>
              </w:rPr>
              <w:t>的</w:t>
            </w:r>
            <w:r>
              <w:rPr>
                <w:rFonts w:hint="eastAsia" w:ascii="宋体" w:hAnsi="宋体" w:cs="宋体"/>
                <w:iCs/>
                <w:sz w:val="24"/>
                <w:lang w:val="zh-CN"/>
              </w:rPr>
              <w:t>提升。</w:t>
            </w:r>
          </w:p>
          <w:p>
            <w:pPr>
              <w:autoSpaceDE w:val="0"/>
              <w:autoSpaceDN w:val="0"/>
              <w:adjustRightInd w:val="0"/>
              <w:spacing w:line="360" w:lineRule="auto"/>
              <w:ind w:firstLine="480" w:firstLineChars="200"/>
              <w:jc w:val="left"/>
              <w:rPr>
                <w:rFonts w:hint="eastAsia" w:ascii="宋体" w:hAnsi="宋体" w:cs="宋体"/>
                <w:iCs/>
                <w:sz w:val="24"/>
                <w:lang w:val="zh-CN"/>
              </w:rPr>
            </w:pPr>
            <w:r>
              <w:rPr>
                <w:rFonts w:hint="eastAsia" w:ascii="宋体" w:hAnsi="宋体" w:cs="宋体"/>
                <w:iCs/>
                <w:sz w:val="24"/>
                <w:lang w:val="zh-CN"/>
              </w:rPr>
              <w:t>罗库溴铵注射液销售由于受相关产品舒更葡糖钠（罗库拮抗剂）的推广等多方面因素</w:t>
            </w:r>
            <w:r>
              <w:rPr>
                <w:rFonts w:hint="eastAsia" w:ascii="宋体" w:hAnsi="宋体" w:cs="宋体"/>
                <w:iCs/>
                <w:sz w:val="24"/>
                <w:lang w:val="zh-CN" w:eastAsia="zh-CN"/>
              </w:rPr>
              <w:t>影响</w:t>
            </w:r>
            <w:r>
              <w:rPr>
                <w:rFonts w:hint="eastAsia" w:ascii="宋体" w:hAnsi="宋体" w:cs="宋体"/>
                <w:iCs/>
                <w:sz w:val="24"/>
                <w:lang w:val="zh-CN"/>
              </w:rPr>
              <w:t>，今年销售呈现较快的增长状态。罗库溴铵注射液明年是否列入集采、什么时候列入集采有待于国家层面的文件发布，目前公司积极做市场的覆盖和布局。预计罗库溴铵注射液在未来进入集采后会出现营业收入和销售费用的影响，但产品利润相对可控。</w:t>
            </w:r>
          </w:p>
          <w:p>
            <w:pPr>
              <w:spacing w:line="360" w:lineRule="auto"/>
              <w:ind w:firstLine="480" w:firstLineChars="200"/>
              <w:jc w:val="left"/>
              <w:rPr>
                <w:rStyle w:val="6"/>
                <w:rFonts w:ascii="宋体" w:hAnsi="宋体" w:cs="宋体"/>
                <w:iCs/>
                <w:sz w:val="24"/>
                <w:lang w:val="zh-CN"/>
              </w:rPr>
            </w:pPr>
            <w:r>
              <w:rPr>
                <w:rFonts w:hint="eastAsia" w:ascii="宋体" w:hAnsi="宋体" w:cs="宋体"/>
                <w:iCs/>
                <w:sz w:val="24"/>
                <w:lang w:val="zh-CN"/>
              </w:rPr>
              <w:t>基于公司的产品具有多品类、小品种的竞争特点，而且有原料药与制剂一体化的优势，集采影响相对中性。</w:t>
            </w:r>
          </w:p>
          <w:p>
            <w:pPr>
              <w:spacing w:line="360" w:lineRule="auto"/>
              <w:ind w:firstLine="480" w:firstLineChars="200"/>
              <w:jc w:val="left"/>
              <w:rPr>
                <w:rStyle w:val="6"/>
                <w:rFonts w:ascii="宋体" w:hAnsi="宋体"/>
                <w:bCs/>
                <w:color w:val="000000" w:themeColor="text1"/>
                <w:sz w:val="24"/>
                <w:szCs w:val="22"/>
                <w14:textFill>
                  <w14:solidFill>
                    <w14:schemeClr w14:val="tx1"/>
                  </w14:solidFill>
                </w14:textFill>
              </w:rPr>
            </w:pPr>
          </w:p>
          <w:p>
            <w:pPr>
              <w:numPr>
                <w:ilvl w:val="0"/>
                <w:numId w:val="0"/>
              </w:numPr>
              <w:spacing w:line="360" w:lineRule="auto"/>
              <w:jc w:val="left"/>
              <w:rPr>
                <w:rStyle w:val="6"/>
                <w:rFonts w:hint="eastAsia" w:ascii="宋体" w:hAnsi="宋体" w:eastAsiaTheme="minorEastAsia"/>
                <w:b/>
                <w:color w:val="000000" w:themeColor="text1"/>
                <w:sz w:val="24"/>
                <w:szCs w:val="22"/>
                <w:lang w:val="en-US" w:eastAsia="zh-CN"/>
                <w14:textFill>
                  <w14:solidFill>
                    <w14:schemeClr w14:val="tx1"/>
                  </w14:solidFill>
                </w14:textFill>
              </w:rPr>
            </w:pPr>
            <w:r>
              <w:rPr>
                <w:rStyle w:val="6"/>
                <w:rFonts w:hint="eastAsia" w:ascii="宋体" w:hAnsi="宋体" w:eastAsiaTheme="minorEastAsia"/>
                <w:b/>
                <w:color w:val="000000" w:themeColor="text1"/>
                <w:sz w:val="24"/>
                <w:szCs w:val="22"/>
                <w:lang w:val="en-US" w:eastAsia="zh-CN"/>
                <w14:textFill>
                  <w14:solidFill>
                    <w14:schemeClr w14:val="tx1"/>
                  </w14:solidFill>
                </w14:textFill>
              </w:rPr>
              <w:t>4、关于拟投资设立浙江天仙生物制药有限公司相关事宜</w:t>
            </w:r>
          </w:p>
          <w:p>
            <w:pPr>
              <w:spacing w:line="360" w:lineRule="auto"/>
              <w:ind w:firstLine="480" w:firstLineChars="200"/>
              <w:jc w:val="left"/>
              <w:rPr>
                <w:rStyle w:val="6"/>
                <w:rFonts w:hint="eastAsia" w:ascii="宋体" w:hAnsi="宋体" w:eastAsia="宋体"/>
                <w:bCs/>
                <w:color w:val="000000" w:themeColor="text1"/>
                <w:sz w:val="24"/>
                <w:szCs w:val="22"/>
                <w:lang w:eastAsia="zh-CN"/>
                <w14:textFill>
                  <w14:solidFill>
                    <w14:schemeClr w14:val="tx1"/>
                  </w14:solidFill>
                </w14:textFill>
              </w:rPr>
            </w:pPr>
            <w:r>
              <w:rPr>
                <w:rFonts w:hint="eastAsia" w:ascii="宋体" w:hAnsi="Times New Roman" w:eastAsia="宋体" w:cs="Times New Roman"/>
                <w:color w:val="000000"/>
                <w:kern w:val="0"/>
                <w:sz w:val="24"/>
              </w:rPr>
              <w:t>公司2022年1月1</w:t>
            </w:r>
            <w:r>
              <w:rPr>
                <w:rFonts w:hint="eastAsia" w:ascii="宋体" w:hAnsi="Times New Roman" w:eastAsia="宋体" w:cs="Times New Roman"/>
                <w:color w:val="000000"/>
                <w:kern w:val="0"/>
                <w:sz w:val="24"/>
                <w:lang w:val="en-US" w:eastAsia="zh-CN"/>
              </w:rPr>
              <w:t>7</w:t>
            </w:r>
            <w:r>
              <w:rPr>
                <w:rFonts w:hint="eastAsia" w:ascii="宋体" w:hAnsi="Times New Roman" w:eastAsia="宋体" w:cs="Times New Roman"/>
                <w:color w:val="000000"/>
                <w:kern w:val="0"/>
                <w:sz w:val="24"/>
              </w:rPr>
              <w:t>日召开的第七届董事会第十七次会议审议通过</w:t>
            </w:r>
            <w:r>
              <w:rPr>
                <w:rFonts w:hint="eastAsia" w:ascii="宋体" w:hAnsi="Times New Roman" w:eastAsia="宋体" w:cs="Times New Roman"/>
                <w:color w:val="000000"/>
                <w:kern w:val="0"/>
                <w:sz w:val="24"/>
                <w:lang w:val="en-US" w:eastAsia="zh-CN"/>
              </w:rPr>
              <w:t>拟投资设立浙江天仙生物制药有限公司</w:t>
            </w:r>
            <w:r>
              <w:rPr>
                <w:rFonts w:hint="eastAsia" w:ascii="宋体" w:hAnsi="Times New Roman" w:cs="Times New Roman"/>
                <w:color w:val="000000"/>
                <w:kern w:val="0"/>
                <w:sz w:val="24"/>
                <w:lang w:val="en-US" w:eastAsia="zh-CN"/>
              </w:rPr>
              <w:t>，出于公司战略部署，</w:t>
            </w:r>
            <w:r>
              <w:rPr>
                <w:rFonts w:hint="eastAsia" w:ascii="宋体" w:hAnsi="宋体" w:eastAsia="宋体" w:cs="宋体"/>
                <w:color w:val="auto"/>
                <w:sz w:val="24"/>
              </w:rPr>
              <w:t>为</w:t>
            </w:r>
            <w:r>
              <w:rPr>
                <w:rFonts w:hint="eastAsia" w:ascii="宋体" w:hAnsi="宋体" w:eastAsia="宋体" w:cs="宋体"/>
                <w:color w:val="auto"/>
                <w:sz w:val="24"/>
                <w:lang w:eastAsia="zh-CN"/>
              </w:rPr>
              <w:t>搭建</w:t>
            </w:r>
            <w:r>
              <w:rPr>
                <w:rFonts w:hint="eastAsia" w:ascii="宋体" w:hAnsi="宋体" w:eastAsia="宋体" w:cs="宋体"/>
                <w:color w:val="auto"/>
                <w:sz w:val="24"/>
              </w:rPr>
              <w:t>无菌原料药产业化平台，</w:t>
            </w:r>
            <w:r>
              <w:rPr>
                <w:rFonts w:hint="eastAsia" w:ascii="宋体" w:hAnsi="宋体" w:eastAsia="宋体" w:cs="宋体"/>
                <w:color w:val="auto"/>
                <w:sz w:val="24"/>
                <w:lang w:eastAsia="zh-CN"/>
              </w:rPr>
              <w:t>获取外部无菌原料药技术支撑，同时</w:t>
            </w:r>
            <w:r>
              <w:rPr>
                <w:rFonts w:hint="eastAsia" w:ascii="仿宋_GB2312" w:hAnsi="宋体" w:eastAsia="宋体" w:cs="宋体"/>
                <w:color w:val="auto"/>
                <w:kern w:val="0"/>
                <w:sz w:val="24"/>
              </w:rPr>
              <w:t>适当</w:t>
            </w:r>
            <w:r>
              <w:rPr>
                <w:rFonts w:hint="eastAsia" w:ascii="仿宋_GB2312" w:hAnsi="宋体" w:eastAsia="宋体" w:cs="宋体"/>
                <w:color w:val="auto"/>
                <w:kern w:val="0"/>
                <w:sz w:val="24"/>
                <w:lang w:eastAsia="zh-CN"/>
              </w:rPr>
              <w:t>拓展现有原料药业务</w:t>
            </w:r>
            <w:r>
              <w:rPr>
                <w:rFonts w:hint="eastAsia" w:ascii="仿宋_GB2312" w:hAnsi="宋体" w:eastAsia="宋体" w:cs="宋体"/>
                <w:color w:val="auto"/>
                <w:kern w:val="0"/>
                <w:sz w:val="24"/>
              </w:rPr>
              <w:t>领域</w:t>
            </w:r>
            <w:r>
              <w:rPr>
                <w:rFonts w:hint="eastAsia" w:ascii="宋体" w:hAnsi="宋体" w:eastAsia="宋体" w:cs="宋体"/>
                <w:color w:val="auto"/>
                <w:sz w:val="24"/>
              </w:rPr>
              <w:t>，</w:t>
            </w:r>
            <w:r>
              <w:rPr>
                <w:rFonts w:hint="eastAsia" w:ascii="宋体" w:hAnsi="宋体" w:eastAsia="宋体" w:cs="宋体"/>
                <w:sz w:val="24"/>
              </w:rPr>
              <w:t>公司</w:t>
            </w:r>
            <w:r>
              <w:rPr>
                <w:rFonts w:hint="eastAsia" w:ascii="仿宋_GB2312" w:hAnsi="宋体" w:eastAsia="宋体" w:cs="宋体"/>
                <w:kern w:val="0"/>
                <w:sz w:val="24"/>
              </w:rPr>
              <w:t>拟出资</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250万元</w:t>
            </w:r>
            <w:r>
              <w:rPr>
                <w:rFonts w:hint="eastAsia" w:ascii="宋体" w:hAnsi="宋体" w:cs="宋体"/>
                <w:kern w:val="0"/>
                <w:sz w:val="24"/>
                <w:lang w:eastAsia="zh-CN"/>
              </w:rPr>
              <w:t>参股设立新公司，认缴</w:t>
            </w:r>
            <w:r>
              <w:rPr>
                <w:rFonts w:hint="eastAsia" w:ascii="宋体" w:hAnsi="宋体" w:eastAsia="宋体" w:cs="宋体"/>
                <w:kern w:val="0"/>
                <w:sz w:val="24"/>
              </w:rPr>
              <w:t>注册资本45%</w:t>
            </w:r>
            <w:r>
              <w:rPr>
                <w:rFonts w:hint="eastAsia" w:ascii="宋体" w:hAnsi="宋体" w:cs="宋体"/>
                <w:kern w:val="0"/>
                <w:sz w:val="24"/>
                <w:lang w:eastAsia="zh-CN"/>
              </w:rPr>
              <w:t>，注册地在仙居。</w:t>
            </w:r>
          </w:p>
          <w:p>
            <w:pPr>
              <w:spacing w:line="360" w:lineRule="auto"/>
              <w:ind w:firstLine="480" w:firstLineChars="200"/>
              <w:jc w:val="left"/>
              <w:rPr>
                <w:rStyle w:val="6"/>
                <w:rFonts w:ascii="宋体" w:hAnsi="宋体"/>
                <w:bCs/>
                <w:color w:val="000000" w:themeColor="text1"/>
                <w:sz w:val="24"/>
                <w:szCs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83"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6"/>
                <w:rFonts w:ascii="宋体" w:hAnsi="宋体"/>
                <w:b/>
                <w:bCs/>
                <w:iCs/>
                <w:color w:val="000000" w:themeColor="text1"/>
                <w:sz w:val="24"/>
                <w14:textFill>
                  <w14:solidFill>
                    <w14:schemeClr w14:val="tx1"/>
                  </w14:solidFill>
                </w14:textFill>
              </w:rPr>
            </w:pPr>
            <w:r>
              <w:rPr>
                <w:rStyle w:val="6"/>
                <w:rFonts w:ascii="宋体" w:hAnsi="宋体"/>
                <w:b/>
                <w:bCs/>
                <w:iCs/>
                <w:color w:val="000000" w:themeColor="text1"/>
                <w:sz w:val="24"/>
                <w14:textFill>
                  <w14:solidFill>
                    <w14:schemeClr w14:val="tx1"/>
                  </w14:solidFill>
                </w14:textFill>
              </w:rPr>
              <w:t>附件清单</w:t>
            </w:r>
          </w:p>
          <w:p>
            <w:pPr>
              <w:spacing w:line="480" w:lineRule="atLeast"/>
              <w:rPr>
                <w:rStyle w:val="6"/>
                <w:rFonts w:ascii="宋体" w:hAnsi="宋体"/>
                <w:b/>
                <w:bCs/>
                <w:iCs/>
                <w:color w:val="000000" w:themeColor="text1"/>
                <w:sz w:val="24"/>
                <w14:textFill>
                  <w14:solidFill>
                    <w14:schemeClr w14:val="tx1"/>
                  </w14:solidFill>
                </w14:textFill>
              </w:rPr>
            </w:pPr>
            <w:r>
              <w:rPr>
                <w:rStyle w:val="6"/>
                <w:rFonts w:ascii="宋体" w:hAnsi="宋体"/>
                <w:b/>
                <w:bCs/>
                <w:iCs/>
                <w:color w:val="000000" w:themeColor="text1"/>
                <w:sz w:val="24"/>
                <w14:textFill>
                  <w14:solidFill>
                    <w14:schemeClr w14:val="tx1"/>
                  </w14:solidFill>
                </w14:textFill>
              </w:rPr>
              <w:t>（如有）</w:t>
            </w:r>
          </w:p>
        </w:tc>
        <w:tc>
          <w:tcPr>
            <w:tcW w:w="6735"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themeColor="text1"/>
                <w:sz w:val="24"/>
                <w14:textFill>
                  <w14:solidFill>
                    <w14:schemeClr w14:val="tx1"/>
                  </w14:solidFill>
                </w14:textFill>
              </w:rPr>
            </w:pPr>
            <w:r>
              <w:rPr>
                <w:rStyle w:val="6"/>
                <w:rFonts w:ascii="宋体" w:hAnsi="宋体"/>
                <w:bCs/>
                <w:iCs/>
                <w:color w:val="000000" w:themeColor="text1"/>
                <w:sz w:val="24"/>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83" w:type="dxa"/>
            <w:tcBorders>
              <w:top w:val="single" w:color="000000" w:sz="4" w:space="0"/>
              <w:left w:val="single" w:color="000000" w:sz="4" w:space="0"/>
              <w:bottom w:val="single" w:color="000000" w:sz="4" w:space="0"/>
              <w:right w:val="single" w:color="000000" w:sz="4" w:space="0"/>
            </w:tcBorders>
            <w:vAlign w:val="center"/>
          </w:tcPr>
          <w:p>
            <w:pPr>
              <w:spacing w:line="480" w:lineRule="atLeast"/>
              <w:rPr>
                <w:rStyle w:val="6"/>
                <w:rFonts w:ascii="宋体" w:hAnsi="宋体"/>
                <w:b/>
                <w:bCs/>
                <w:iCs/>
                <w:color w:val="000000" w:themeColor="text1"/>
                <w:sz w:val="24"/>
                <w14:textFill>
                  <w14:solidFill>
                    <w14:schemeClr w14:val="tx1"/>
                  </w14:solidFill>
                </w14:textFill>
              </w:rPr>
            </w:pPr>
            <w:r>
              <w:rPr>
                <w:rStyle w:val="6"/>
                <w:rFonts w:ascii="宋体" w:hAnsi="宋体"/>
                <w:b/>
                <w:bCs/>
                <w:iCs/>
                <w:color w:val="000000" w:themeColor="text1"/>
                <w:sz w:val="24"/>
                <w14:textFill>
                  <w14:solidFill>
                    <w14:schemeClr w14:val="tx1"/>
                  </w14:solidFill>
                </w14:textFill>
              </w:rPr>
              <w:t>日期</w:t>
            </w:r>
          </w:p>
        </w:tc>
        <w:tc>
          <w:tcPr>
            <w:tcW w:w="6735" w:type="dxa"/>
            <w:tcBorders>
              <w:top w:val="single" w:color="000000" w:sz="4" w:space="0"/>
              <w:left w:val="single" w:color="000000" w:sz="4" w:space="0"/>
              <w:bottom w:val="single" w:color="000000" w:sz="4" w:space="0"/>
              <w:right w:val="single" w:color="000000" w:sz="4" w:space="0"/>
            </w:tcBorders>
          </w:tcPr>
          <w:p>
            <w:pPr>
              <w:spacing w:line="480" w:lineRule="atLeast"/>
              <w:rPr>
                <w:rStyle w:val="6"/>
                <w:rFonts w:ascii="宋体" w:hAnsi="宋体"/>
                <w:bCs/>
                <w:iCs/>
                <w:color w:val="000000" w:themeColor="text1"/>
                <w:sz w:val="24"/>
                <w14:textFill>
                  <w14:solidFill>
                    <w14:schemeClr w14:val="tx1"/>
                  </w14:solidFill>
                </w14:textFill>
              </w:rPr>
            </w:pPr>
            <w:r>
              <w:rPr>
                <w:rStyle w:val="6"/>
                <w:rFonts w:ascii="宋体" w:hAnsi="宋体"/>
                <w:bCs/>
                <w:iCs/>
                <w:color w:val="000000" w:themeColor="text1"/>
                <w:sz w:val="24"/>
                <w14:textFill>
                  <w14:solidFill>
                    <w14:schemeClr w14:val="tx1"/>
                  </w14:solidFill>
                </w14:textFill>
              </w:rPr>
              <w:t>20</w:t>
            </w:r>
            <w:r>
              <w:rPr>
                <w:rStyle w:val="6"/>
                <w:rFonts w:hint="eastAsia" w:ascii="宋体" w:hAnsi="宋体"/>
                <w:bCs/>
                <w:iCs/>
                <w:color w:val="000000" w:themeColor="text1"/>
                <w:sz w:val="24"/>
                <w14:textFill>
                  <w14:solidFill>
                    <w14:schemeClr w14:val="tx1"/>
                  </w14:solidFill>
                </w14:textFill>
              </w:rPr>
              <w:t>22</w:t>
            </w:r>
            <w:r>
              <w:rPr>
                <w:rStyle w:val="6"/>
                <w:rFonts w:ascii="宋体" w:hAnsi="宋体"/>
                <w:bCs/>
                <w:iCs/>
                <w:color w:val="000000" w:themeColor="text1"/>
                <w:sz w:val="24"/>
                <w14:textFill>
                  <w14:solidFill>
                    <w14:schemeClr w14:val="tx1"/>
                  </w14:solidFill>
                </w14:textFill>
              </w:rPr>
              <w:t>年</w:t>
            </w:r>
            <w:r>
              <w:rPr>
                <w:rStyle w:val="6"/>
                <w:rFonts w:hint="eastAsia" w:ascii="宋体" w:hAnsi="宋体"/>
                <w:bCs/>
                <w:iCs/>
                <w:color w:val="000000" w:themeColor="text1"/>
                <w:sz w:val="24"/>
                <w14:textFill>
                  <w14:solidFill>
                    <w14:schemeClr w14:val="tx1"/>
                  </w14:solidFill>
                </w14:textFill>
              </w:rPr>
              <w:t>1</w:t>
            </w:r>
            <w:r>
              <w:rPr>
                <w:rStyle w:val="6"/>
                <w:rFonts w:ascii="宋体" w:hAnsi="宋体"/>
                <w:bCs/>
                <w:iCs/>
                <w:color w:val="000000" w:themeColor="text1"/>
                <w:sz w:val="24"/>
                <w14:textFill>
                  <w14:solidFill>
                    <w14:schemeClr w14:val="tx1"/>
                  </w14:solidFill>
                </w14:textFill>
              </w:rPr>
              <w:t>月</w:t>
            </w:r>
            <w:r>
              <w:rPr>
                <w:rStyle w:val="6"/>
                <w:rFonts w:hint="eastAsia" w:ascii="宋体" w:hAnsi="宋体"/>
                <w:bCs/>
                <w:iCs/>
                <w:color w:val="000000" w:themeColor="text1"/>
                <w:sz w:val="24"/>
                <w:lang w:val="en-US" w:eastAsia="zh-CN"/>
                <w14:textFill>
                  <w14:solidFill>
                    <w14:schemeClr w14:val="tx1"/>
                  </w14:solidFill>
                </w14:textFill>
              </w:rPr>
              <w:t>19</w:t>
            </w:r>
            <w:r>
              <w:rPr>
                <w:rStyle w:val="6"/>
                <w:rFonts w:ascii="宋体" w:hAnsi="宋体"/>
                <w:bCs/>
                <w:iCs/>
                <w:color w:val="000000" w:themeColor="text1"/>
                <w:sz w:val="24"/>
                <w14:textFill>
                  <w14:solidFill>
                    <w14:schemeClr w14:val="tx1"/>
                  </w14:solidFill>
                </w14:textFill>
              </w:rPr>
              <w:t>日</w:t>
            </w:r>
          </w:p>
        </w:tc>
      </w:tr>
    </w:tbl>
    <w:p>
      <w:pPr>
        <w:spacing w:line="360" w:lineRule="auto"/>
        <w:ind w:firstLine="360"/>
        <w:jc w:val="left"/>
        <w:rPr>
          <w:rStyle w:val="6"/>
          <w:rFonts w:ascii="宋体" w:hAnsi="宋体"/>
          <w:color w:val="000000" w:themeColor="text1"/>
          <w:sz w:val="24"/>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1E"/>
    <w:rsid w:val="000077EC"/>
    <w:rsid w:val="000111AF"/>
    <w:rsid w:val="00103205"/>
    <w:rsid w:val="0013211C"/>
    <w:rsid w:val="001E42E6"/>
    <w:rsid w:val="0022211E"/>
    <w:rsid w:val="00222F19"/>
    <w:rsid w:val="00387786"/>
    <w:rsid w:val="003C0212"/>
    <w:rsid w:val="003E7B4E"/>
    <w:rsid w:val="004678F9"/>
    <w:rsid w:val="004B5F9D"/>
    <w:rsid w:val="00500DAB"/>
    <w:rsid w:val="00525F7E"/>
    <w:rsid w:val="0057072D"/>
    <w:rsid w:val="005C167E"/>
    <w:rsid w:val="0063720F"/>
    <w:rsid w:val="006433A9"/>
    <w:rsid w:val="00673F59"/>
    <w:rsid w:val="006D7679"/>
    <w:rsid w:val="006E1653"/>
    <w:rsid w:val="0076775C"/>
    <w:rsid w:val="007D35F5"/>
    <w:rsid w:val="00874952"/>
    <w:rsid w:val="009152F2"/>
    <w:rsid w:val="00A128E7"/>
    <w:rsid w:val="00A41C80"/>
    <w:rsid w:val="00AD38E6"/>
    <w:rsid w:val="00B27FA2"/>
    <w:rsid w:val="00B408F7"/>
    <w:rsid w:val="00BC4A0A"/>
    <w:rsid w:val="00C06076"/>
    <w:rsid w:val="00C80D76"/>
    <w:rsid w:val="00CC6199"/>
    <w:rsid w:val="00DF0E62"/>
    <w:rsid w:val="00E3536B"/>
    <w:rsid w:val="00E5244D"/>
    <w:rsid w:val="00E55D97"/>
    <w:rsid w:val="00EB0518"/>
    <w:rsid w:val="00EB5DDB"/>
    <w:rsid w:val="00EC18CF"/>
    <w:rsid w:val="00EE25F4"/>
    <w:rsid w:val="00F45868"/>
    <w:rsid w:val="00F57600"/>
    <w:rsid w:val="00F93DC3"/>
    <w:rsid w:val="00FA0F21"/>
    <w:rsid w:val="00FA1297"/>
    <w:rsid w:val="01D12014"/>
    <w:rsid w:val="032F4111"/>
    <w:rsid w:val="03660022"/>
    <w:rsid w:val="05273531"/>
    <w:rsid w:val="07AD72A1"/>
    <w:rsid w:val="07DB5D29"/>
    <w:rsid w:val="07FB4EFE"/>
    <w:rsid w:val="0828574C"/>
    <w:rsid w:val="095F2057"/>
    <w:rsid w:val="09B3652D"/>
    <w:rsid w:val="0A6F58F6"/>
    <w:rsid w:val="0C7940D4"/>
    <w:rsid w:val="0C9E57F7"/>
    <w:rsid w:val="0CE60B1A"/>
    <w:rsid w:val="0FB156BD"/>
    <w:rsid w:val="0FBA2FE0"/>
    <w:rsid w:val="10657407"/>
    <w:rsid w:val="1183681F"/>
    <w:rsid w:val="1189484A"/>
    <w:rsid w:val="124B7A44"/>
    <w:rsid w:val="140C6DF4"/>
    <w:rsid w:val="14A17E00"/>
    <w:rsid w:val="15B34797"/>
    <w:rsid w:val="1864307E"/>
    <w:rsid w:val="1AAE3A41"/>
    <w:rsid w:val="1C410F3F"/>
    <w:rsid w:val="1C5D4CAF"/>
    <w:rsid w:val="1C76645C"/>
    <w:rsid w:val="1EDE769F"/>
    <w:rsid w:val="21564F9A"/>
    <w:rsid w:val="216E4A28"/>
    <w:rsid w:val="21C97537"/>
    <w:rsid w:val="23C632A7"/>
    <w:rsid w:val="24581CCD"/>
    <w:rsid w:val="24781640"/>
    <w:rsid w:val="25C10A17"/>
    <w:rsid w:val="26261FAA"/>
    <w:rsid w:val="27624415"/>
    <w:rsid w:val="27730FD9"/>
    <w:rsid w:val="280638E4"/>
    <w:rsid w:val="28615A1C"/>
    <w:rsid w:val="286E314E"/>
    <w:rsid w:val="29114074"/>
    <w:rsid w:val="296B6BBA"/>
    <w:rsid w:val="2A1D5190"/>
    <w:rsid w:val="2C87471B"/>
    <w:rsid w:val="2E5734CA"/>
    <w:rsid w:val="2F5A7FAE"/>
    <w:rsid w:val="2F627A5E"/>
    <w:rsid w:val="2FA30ED7"/>
    <w:rsid w:val="30B7290D"/>
    <w:rsid w:val="315232A8"/>
    <w:rsid w:val="34285A89"/>
    <w:rsid w:val="3AF864F7"/>
    <w:rsid w:val="3D6545D0"/>
    <w:rsid w:val="3EE52723"/>
    <w:rsid w:val="3F6B2AC9"/>
    <w:rsid w:val="3FC1372E"/>
    <w:rsid w:val="422541A4"/>
    <w:rsid w:val="42F46E82"/>
    <w:rsid w:val="44FF53F5"/>
    <w:rsid w:val="4540473C"/>
    <w:rsid w:val="46871672"/>
    <w:rsid w:val="485E1656"/>
    <w:rsid w:val="48AC527D"/>
    <w:rsid w:val="4ADB0EEB"/>
    <w:rsid w:val="4B824593"/>
    <w:rsid w:val="4D3335ED"/>
    <w:rsid w:val="4E0060B5"/>
    <w:rsid w:val="4ECC4B5E"/>
    <w:rsid w:val="4F3D71B4"/>
    <w:rsid w:val="4F5E514B"/>
    <w:rsid w:val="502F666B"/>
    <w:rsid w:val="519228EA"/>
    <w:rsid w:val="524B6183"/>
    <w:rsid w:val="549E1CCA"/>
    <w:rsid w:val="5500769F"/>
    <w:rsid w:val="553A50BF"/>
    <w:rsid w:val="571D46CE"/>
    <w:rsid w:val="57E3296E"/>
    <w:rsid w:val="57EA044E"/>
    <w:rsid w:val="59AD2754"/>
    <w:rsid w:val="5B6332D2"/>
    <w:rsid w:val="5C071E4F"/>
    <w:rsid w:val="5DCE389F"/>
    <w:rsid w:val="5F62039E"/>
    <w:rsid w:val="65391840"/>
    <w:rsid w:val="65765787"/>
    <w:rsid w:val="658A159A"/>
    <w:rsid w:val="65E17F55"/>
    <w:rsid w:val="66B82C7C"/>
    <w:rsid w:val="66C70B33"/>
    <w:rsid w:val="691B1209"/>
    <w:rsid w:val="69293B3A"/>
    <w:rsid w:val="6B9C475C"/>
    <w:rsid w:val="6BDD566B"/>
    <w:rsid w:val="6C0C58DC"/>
    <w:rsid w:val="6CE33CC0"/>
    <w:rsid w:val="6DD877BE"/>
    <w:rsid w:val="7136186B"/>
    <w:rsid w:val="71CA7D6E"/>
    <w:rsid w:val="740657A3"/>
    <w:rsid w:val="74267CE5"/>
    <w:rsid w:val="749E2EDE"/>
    <w:rsid w:val="76ED507E"/>
    <w:rsid w:val="770C3160"/>
    <w:rsid w:val="77796CDF"/>
    <w:rsid w:val="778973E0"/>
    <w:rsid w:val="77F96A80"/>
    <w:rsid w:val="786D601E"/>
    <w:rsid w:val="78D74447"/>
    <w:rsid w:val="79EF3512"/>
    <w:rsid w:val="7A902BE2"/>
    <w:rsid w:val="7BF006F4"/>
    <w:rsid w:val="7D4312E1"/>
    <w:rsid w:val="7F6462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UserStyle_0"/>
    <w:link w:val="9"/>
    <w:qFormat/>
    <w:uiPriority w:val="0"/>
    <w:rPr>
      <w:kern w:val="2"/>
      <w:sz w:val="18"/>
      <w:szCs w:val="18"/>
    </w:rPr>
  </w:style>
  <w:style w:type="paragraph" w:customStyle="1" w:styleId="9">
    <w:name w:val="Header"/>
    <w:basedOn w:val="1"/>
    <w:link w:val="8"/>
    <w:qFormat/>
    <w:uiPriority w:val="0"/>
    <w:pPr>
      <w:pBdr>
        <w:bottom w:val="single" w:color="000000" w:sz="6" w:space="1"/>
      </w:pBdr>
      <w:tabs>
        <w:tab w:val="center" w:pos="4153"/>
        <w:tab w:val="right" w:pos="8306"/>
      </w:tabs>
      <w:snapToGrid w:val="0"/>
      <w:jc w:val="center"/>
    </w:pPr>
    <w:rPr>
      <w:sz w:val="18"/>
      <w:szCs w:val="18"/>
    </w:rPr>
  </w:style>
  <w:style w:type="character" w:customStyle="1" w:styleId="10">
    <w:name w:val="UserStyle_1"/>
    <w:link w:val="11"/>
    <w:qFormat/>
    <w:uiPriority w:val="0"/>
    <w:rPr>
      <w:kern w:val="2"/>
      <w:sz w:val="18"/>
      <w:szCs w:val="18"/>
    </w:rPr>
  </w:style>
  <w:style w:type="paragraph" w:customStyle="1" w:styleId="11">
    <w:name w:val="Footer"/>
    <w:basedOn w:val="1"/>
    <w:link w:val="10"/>
    <w:qFormat/>
    <w:uiPriority w:val="0"/>
    <w:pPr>
      <w:tabs>
        <w:tab w:val="center" w:pos="4153"/>
        <w:tab w:val="right" w:pos="8306"/>
      </w:tabs>
      <w:snapToGrid w:val="0"/>
      <w:jc w:val="left"/>
    </w:pPr>
    <w:rPr>
      <w:sz w:val="18"/>
      <w:szCs w:val="18"/>
    </w:rPr>
  </w:style>
  <w:style w:type="paragraph" w:customStyle="1" w:styleId="12">
    <w:name w:val="Acetate"/>
    <w:basedOn w:val="1"/>
    <w:qFormat/>
    <w:uiPriority w:val="0"/>
    <w:rPr>
      <w:sz w:val="18"/>
      <w:szCs w:val="18"/>
    </w:rPr>
  </w:style>
  <w:style w:type="character" w:customStyle="1" w:styleId="13">
    <w:name w:val="页眉 Char"/>
    <w:basedOn w:val="5"/>
    <w:link w:val="3"/>
    <w:semiHidden/>
    <w:qFormat/>
    <w:uiPriority w:val="99"/>
    <w:rPr>
      <w:kern w:val="2"/>
      <w:sz w:val="18"/>
      <w:szCs w:val="18"/>
    </w:rPr>
  </w:style>
  <w:style w:type="character" w:customStyle="1" w:styleId="14">
    <w:name w:val="页脚 Char"/>
    <w:basedOn w:val="5"/>
    <w:link w:val="2"/>
    <w:semiHidden/>
    <w:qFormat/>
    <w:uiPriority w:val="99"/>
    <w:rPr>
      <w:kern w:val="2"/>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437</Words>
  <Characters>2492</Characters>
  <Lines>20</Lines>
  <Paragraphs>5</Paragraphs>
  <TotalTime>10</TotalTime>
  <ScaleCrop>false</ScaleCrop>
  <LinksUpToDate>false</LinksUpToDate>
  <CharactersWithSpaces>2924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2019-10-30T07:33:00Z</dcterms:created>
  <dc:creator>XJ-CJ3-21</dc:creator>
  <cp:lastModifiedBy>九日</cp:lastModifiedBy>
  <cp:lastPrinted>2021-03-03T06:12:00Z</cp:lastPrinted>
  <dcterms:modified xsi:type="dcterms:W3CDTF">2022-01-20T08:58:30Z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F160369D67ED41339DBDBAE615C507E8</vt:lpwstr>
  </property>
</Properties>
</file>